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57959">
      <w:pPr>
        <w:pStyle w:val="10"/>
        <w:keepNext w:val="0"/>
        <w:keepLines w:val="0"/>
        <w:pageBreakBefore w:val="0"/>
        <w:kinsoku/>
        <w:wordWrap/>
        <w:overflowPunct/>
        <w:topLinePunct w:val="0"/>
        <w:autoSpaceDE/>
        <w:autoSpaceDN/>
        <w:bidi w:val="0"/>
        <w:adjustRightInd w:val="0"/>
        <w:snapToGrid w:val="0"/>
        <w:spacing w:line="300" w:lineRule="auto"/>
        <w:jc w:val="center"/>
        <w:rPr>
          <w:rStyle w:val="11"/>
          <w:rFonts w:ascii="宋体" w:hAnsi="宋体" w:cs="仿宋"/>
          <w:b/>
          <w:bCs/>
          <w:sz w:val="36"/>
          <w:szCs w:val="36"/>
        </w:rPr>
      </w:pPr>
      <w:r>
        <w:rPr>
          <w:rStyle w:val="11"/>
          <w:rFonts w:hint="eastAsia" w:ascii="宋体" w:hAnsi="宋体" w:cs="仿宋"/>
          <w:b/>
          <w:bCs/>
          <w:sz w:val="36"/>
          <w:szCs w:val="36"/>
        </w:rPr>
        <w:t>新能源产品试验检测中心（二期）技改项目</w:t>
      </w:r>
    </w:p>
    <w:p w14:paraId="0F9EC156">
      <w:pPr>
        <w:pStyle w:val="10"/>
        <w:keepNext w:val="0"/>
        <w:keepLines w:val="0"/>
        <w:pageBreakBefore w:val="0"/>
        <w:kinsoku/>
        <w:wordWrap/>
        <w:overflowPunct/>
        <w:topLinePunct w:val="0"/>
        <w:autoSpaceDE/>
        <w:autoSpaceDN/>
        <w:bidi w:val="0"/>
        <w:adjustRightInd w:val="0"/>
        <w:snapToGrid w:val="0"/>
        <w:spacing w:line="300" w:lineRule="auto"/>
        <w:jc w:val="center"/>
        <w:rPr>
          <w:rStyle w:val="11"/>
          <w:rFonts w:ascii="宋体" w:hAnsi="宋体" w:cs="仿宋"/>
          <w:b/>
          <w:bCs/>
          <w:sz w:val="36"/>
          <w:szCs w:val="36"/>
        </w:rPr>
      </w:pPr>
      <w:r>
        <w:rPr>
          <w:rStyle w:val="11"/>
          <w:rFonts w:hint="eastAsia" w:ascii="宋体" w:hAnsi="宋体" w:cs="仿宋"/>
          <w:b/>
          <w:bCs/>
          <w:sz w:val="36"/>
          <w:szCs w:val="36"/>
        </w:rPr>
        <w:t>项目管理要求细则</w:t>
      </w:r>
    </w:p>
    <w:p w14:paraId="1E703109">
      <w:pPr>
        <w:pStyle w:val="10"/>
        <w:keepNext w:val="0"/>
        <w:keepLines w:val="0"/>
        <w:pageBreakBefore w:val="0"/>
        <w:numPr>
          <w:ilvl w:val="0"/>
          <w:numId w:val="1"/>
        </w:numPr>
        <w:kinsoku/>
        <w:wordWrap/>
        <w:overflowPunct/>
        <w:topLinePunct w:val="0"/>
        <w:autoSpaceDE/>
        <w:autoSpaceDN/>
        <w:bidi w:val="0"/>
        <w:adjustRightInd w:val="0"/>
        <w:snapToGrid w:val="0"/>
        <w:spacing w:line="300" w:lineRule="auto"/>
        <w:jc w:val="left"/>
        <w:rPr>
          <w:rFonts w:asciiTheme="minorEastAsia" w:hAnsiTheme="minorEastAsia" w:cstheme="minorEastAsia"/>
          <w:b/>
          <w:bCs/>
          <w:sz w:val="28"/>
          <w:szCs w:val="28"/>
          <w:lang w:bidi="ar"/>
        </w:rPr>
      </w:pPr>
      <w:r>
        <w:rPr>
          <w:rFonts w:hint="eastAsia" w:asciiTheme="minorEastAsia" w:hAnsiTheme="minorEastAsia" w:cstheme="minorEastAsia"/>
          <w:b/>
          <w:bCs/>
          <w:sz w:val="28"/>
          <w:szCs w:val="28"/>
          <w:lang w:bidi="ar"/>
        </w:rPr>
        <w:t>施工质量管理</w:t>
      </w:r>
    </w:p>
    <w:p w14:paraId="2A861AAA">
      <w:pPr>
        <w:pStyle w:val="10"/>
        <w:keepNext w:val="0"/>
        <w:keepLines w:val="0"/>
        <w:pageBreakBefore w:val="0"/>
        <w:numPr>
          <w:ilvl w:val="0"/>
          <w:numId w:val="2"/>
        </w:numPr>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lang w:bidi="ar"/>
        </w:rPr>
      </w:pPr>
      <w:r>
        <w:rPr>
          <w:rFonts w:hint="eastAsia" w:asciiTheme="minorEastAsia" w:hAnsiTheme="minorEastAsia" w:cstheme="minorEastAsia"/>
          <w:sz w:val="28"/>
          <w:szCs w:val="28"/>
          <w:lang w:bidi="ar"/>
        </w:rPr>
        <w:t>对影响施工质量、建筑效果、观感、性能的主要材料（设备），首先由承包人报送样品，经监理人、发包人审核确认后予以封样，保存至样品室。样品要留存至项目质保期结束。</w:t>
      </w:r>
    </w:p>
    <w:p w14:paraId="37153696">
      <w:pPr>
        <w:pStyle w:val="10"/>
        <w:keepNext w:val="0"/>
        <w:keepLines w:val="0"/>
        <w:pageBreakBefore w:val="0"/>
        <w:numPr>
          <w:ilvl w:val="0"/>
          <w:numId w:val="2"/>
        </w:numPr>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lang w:bidi="ar"/>
        </w:rPr>
      </w:pPr>
      <w:r>
        <w:rPr>
          <w:rFonts w:hint="eastAsia" w:asciiTheme="minorEastAsia" w:hAnsiTheme="minorEastAsia" w:cstheme="minorEastAsia"/>
          <w:sz w:val="28"/>
          <w:szCs w:val="28"/>
          <w:lang w:bidi="ar"/>
        </w:rPr>
        <w:t>承包人在现场单独设置一处样品室，由监理单位日常管理。</w:t>
      </w:r>
    </w:p>
    <w:p w14:paraId="6CEE4FD3">
      <w:pPr>
        <w:pStyle w:val="10"/>
        <w:keepNext w:val="0"/>
        <w:keepLines w:val="0"/>
        <w:pageBreakBefore w:val="0"/>
        <w:numPr>
          <w:ilvl w:val="0"/>
          <w:numId w:val="2"/>
        </w:numPr>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lang w:bidi="ar"/>
        </w:rPr>
      </w:pPr>
      <w:r>
        <w:rPr>
          <w:rFonts w:hint="eastAsia" w:asciiTheme="minorEastAsia" w:hAnsiTheme="minorEastAsia" w:cstheme="minorEastAsia"/>
          <w:sz w:val="28"/>
          <w:szCs w:val="28"/>
          <w:lang w:bidi="ar"/>
        </w:rPr>
        <w:t>进场材料的品牌，应与投标品牌或合同约定品牌一致。确因市场货源、供货进度、技术参数等客观因素满足不了现场施工需求或者设计要求，需要更换品牌的，须经监理单位、发包人成本人员（给出价格调差意见）、发包人项目分管领导签批同意后方可更换。更换原则：对于甲限乙购材料应在合同甲限材料品牌库里选择；在合同甲限材料品牌库外更换，应先按发包人内部流程完成材料品牌入库后方可选择使用。品牌调差执行合同条款。</w:t>
      </w:r>
    </w:p>
    <w:p w14:paraId="7B1B3362">
      <w:pPr>
        <w:pStyle w:val="10"/>
        <w:keepNext w:val="0"/>
        <w:keepLines w:val="0"/>
        <w:pageBreakBefore w:val="0"/>
        <w:numPr>
          <w:ilvl w:val="0"/>
          <w:numId w:val="2"/>
        </w:numPr>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lang w:bidi="ar"/>
        </w:rPr>
      </w:pPr>
      <w:r>
        <w:rPr>
          <w:rFonts w:hint="eastAsia" w:asciiTheme="minorEastAsia" w:hAnsiTheme="minorEastAsia" w:cstheme="minorEastAsia"/>
          <w:sz w:val="28"/>
          <w:szCs w:val="28"/>
          <w:lang w:bidi="ar"/>
        </w:rPr>
        <w:t>见证取样检测</w:t>
      </w:r>
    </w:p>
    <w:p w14:paraId="741D7FD2">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lang w:val="zh-CN"/>
        </w:rPr>
      </w:pPr>
      <w:r>
        <w:rPr>
          <w:rStyle w:val="11"/>
          <w:rFonts w:hint="eastAsia" w:asciiTheme="minorEastAsia" w:hAnsiTheme="minorEastAsia" w:cstheme="minorEastAsia"/>
          <w:sz w:val="28"/>
          <w:szCs w:val="28"/>
        </w:rPr>
        <w:t>4.1</w:t>
      </w:r>
      <w:r>
        <w:rPr>
          <w:rFonts w:hint="eastAsia" w:asciiTheme="minorEastAsia" w:hAnsiTheme="minorEastAsia" w:cstheme="minorEastAsia"/>
          <w:sz w:val="28"/>
          <w:szCs w:val="28"/>
          <w:lang w:bidi="ar"/>
        </w:rPr>
        <w:t>进场材料属于必须实施见证取样和送检的，应对进场的每批次材料进行见证取样送检，其取样方法、数量、频次应执行相关</w:t>
      </w:r>
      <w:r>
        <w:rPr>
          <w:rFonts w:hint="eastAsia" w:asciiTheme="minorEastAsia" w:hAnsiTheme="minorEastAsia" w:cstheme="minorEastAsia"/>
          <w:sz w:val="28"/>
          <w:szCs w:val="28"/>
          <w:lang w:val="zh-CN" w:bidi="ar"/>
        </w:rPr>
        <w:t>建筑材料产品</w:t>
      </w:r>
      <w:r>
        <w:rPr>
          <w:rFonts w:hint="eastAsia" w:asciiTheme="minorEastAsia" w:hAnsiTheme="minorEastAsia" w:cstheme="minorEastAsia"/>
          <w:sz w:val="28"/>
          <w:szCs w:val="28"/>
          <w:lang w:bidi="ar"/>
        </w:rPr>
        <w:t>标准、</w:t>
      </w:r>
      <w:r>
        <w:rPr>
          <w:rFonts w:hint="eastAsia" w:asciiTheme="minorEastAsia" w:hAnsiTheme="minorEastAsia" w:cstheme="minorEastAsia"/>
          <w:sz w:val="28"/>
          <w:szCs w:val="28"/>
          <w:lang w:val="zh-CN" w:bidi="ar"/>
        </w:rPr>
        <w:t>各专业施工质量验收</w:t>
      </w:r>
      <w:r>
        <w:rPr>
          <w:rFonts w:hint="eastAsia" w:asciiTheme="minorEastAsia" w:hAnsiTheme="minorEastAsia" w:cstheme="minorEastAsia"/>
          <w:sz w:val="28"/>
          <w:szCs w:val="28"/>
          <w:lang w:bidi="ar"/>
        </w:rPr>
        <w:t>规范、</w:t>
      </w:r>
      <w:r>
        <w:rPr>
          <w:rFonts w:hint="eastAsia" w:asciiTheme="minorEastAsia" w:hAnsiTheme="minorEastAsia" w:cstheme="minorEastAsia"/>
          <w:sz w:val="28"/>
          <w:szCs w:val="28"/>
          <w:lang w:val="zh-CN" w:bidi="ar"/>
        </w:rPr>
        <w:t>工程所在地质量安全监督部门要求；</w:t>
      </w:r>
    </w:p>
    <w:p w14:paraId="5D24536F">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Style w:val="11"/>
          <w:rFonts w:hint="eastAsia" w:asciiTheme="minorEastAsia" w:hAnsiTheme="minorEastAsia" w:cstheme="minorEastAsia"/>
          <w:sz w:val="28"/>
          <w:szCs w:val="28"/>
        </w:rPr>
        <w:t>4.2</w:t>
      </w:r>
      <w:r>
        <w:rPr>
          <w:rFonts w:hint="eastAsia" w:asciiTheme="minorEastAsia" w:hAnsiTheme="minorEastAsia" w:cstheme="minorEastAsia"/>
          <w:sz w:val="28"/>
          <w:szCs w:val="28"/>
          <w:lang w:bidi="ar"/>
        </w:rPr>
        <w:t>发包人、监理单位</w:t>
      </w:r>
      <w:r>
        <w:rPr>
          <w:rFonts w:hint="eastAsia" w:asciiTheme="minorEastAsia" w:hAnsiTheme="minorEastAsia" w:cstheme="minorEastAsia"/>
          <w:sz w:val="28"/>
          <w:szCs w:val="28"/>
          <w:lang w:val="zh-CN" w:bidi="ar"/>
        </w:rPr>
        <w:t>对材料（</w:t>
      </w:r>
      <w:r>
        <w:rPr>
          <w:rFonts w:hint="eastAsia" w:asciiTheme="minorEastAsia" w:hAnsiTheme="minorEastAsia" w:cstheme="minorEastAsia"/>
          <w:sz w:val="28"/>
          <w:szCs w:val="28"/>
          <w:lang w:bidi="ar"/>
        </w:rPr>
        <w:t>设备</w:t>
      </w:r>
      <w:r>
        <w:rPr>
          <w:rFonts w:hint="eastAsia" w:asciiTheme="minorEastAsia" w:hAnsiTheme="minorEastAsia" w:cstheme="minorEastAsia"/>
          <w:sz w:val="28"/>
          <w:szCs w:val="28"/>
          <w:lang w:val="zh-CN" w:bidi="ar"/>
        </w:rPr>
        <w:t>）的质量</w:t>
      </w:r>
      <w:r>
        <w:rPr>
          <w:rFonts w:hint="eastAsia" w:asciiTheme="minorEastAsia" w:hAnsiTheme="minorEastAsia" w:cstheme="minorEastAsia"/>
          <w:sz w:val="28"/>
          <w:szCs w:val="28"/>
          <w:lang w:bidi="ar"/>
        </w:rPr>
        <w:t>存在</w:t>
      </w:r>
      <w:r>
        <w:rPr>
          <w:rFonts w:hint="eastAsia" w:asciiTheme="minorEastAsia" w:hAnsiTheme="minorEastAsia" w:cstheme="minorEastAsia"/>
          <w:sz w:val="28"/>
          <w:szCs w:val="28"/>
          <w:lang w:val="zh-CN" w:bidi="ar"/>
        </w:rPr>
        <w:t>质疑时，可对材料增加</w:t>
      </w:r>
      <w:r>
        <w:rPr>
          <w:rFonts w:hint="eastAsia" w:asciiTheme="minorEastAsia" w:hAnsiTheme="minorEastAsia" w:cstheme="minorEastAsia"/>
          <w:sz w:val="28"/>
          <w:szCs w:val="28"/>
          <w:lang w:bidi="ar"/>
        </w:rPr>
        <w:t>随机</w:t>
      </w:r>
      <w:r>
        <w:rPr>
          <w:rFonts w:hint="eastAsia" w:asciiTheme="minorEastAsia" w:hAnsiTheme="minorEastAsia" w:cstheme="minorEastAsia"/>
          <w:sz w:val="28"/>
          <w:szCs w:val="28"/>
          <w:lang w:val="zh-CN" w:bidi="ar"/>
        </w:rPr>
        <w:t>抽样送检复试（</w:t>
      </w:r>
      <w:r>
        <w:rPr>
          <w:rFonts w:hint="eastAsia" w:asciiTheme="minorEastAsia" w:hAnsiTheme="minorEastAsia" w:cstheme="minorEastAsia"/>
          <w:sz w:val="28"/>
          <w:szCs w:val="28"/>
          <w:lang w:bidi="ar"/>
        </w:rPr>
        <w:t>次数不限</w:t>
      </w:r>
      <w:r>
        <w:rPr>
          <w:rFonts w:hint="eastAsia" w:asciiTheme="minorEastAsia" w:hAnsiTheme="minorEastAsia" w:cstheme="minorEastAsia"/>
          <w:sz w:val="28"/>
          <w:szCs w:val="28"/>
          <w:lang w:val="zh-CN" w:bidi="ar"/>
        </w:rPr>
        <w:t>）。包括不限于：钢筋、水泥、商品砼、加气砼块、玻璃幕墙、饰面板（砖）、石材、防水材料、保温材料、水电管材、暖通管材、钢结构等金属型材/管材/板材、电线线缆、母线等。此项工作过程必须由</w:t>
      </w:r>
      <w:r>
        <w:rPr>
          <w:rFonts w:hint="eastAsia" w:asciiTheme="minorEastAsia" w:hAnsiTheme="minorEastAsia" w:cstheme="minorEastAsia"/>
          <w:sz w:val="28"/>
          <w:szCs w:val="28"/>
          <w:lang w:bidi="ar"/>
        </w:rPr>
        <w:t>发包人项目负责人或专业工程师会同监理工程师现场</w:t>
      </w:r>
      <w:r>
        <w:rPr>
          <w:rFonts w:hint="eastAsia" w:asciiTheme="minorEastAsia" w:hAnsiTheme="minorEastAsia" w:cstheme="minorEastAsia"/>
          <w:sz w:val="28"/>
          <w:szCs w:val="28"/>
          <w:lang w:val="zh-CN" w:bidi="ar"/>
        </w:rPr>
        <w:t>见证</w:t>
      </w:r>
      <w:r>
        <w:rPr>
          <w:rFonts w:hint="eastAsia" w:asciiTheme="minorEastAsia" w:hAnsiTheme="minorEastAsia" w:cstheme="minorEastAsia"/>
          <w:sz w:val="28"/>
          <w:szCs w:val="28"/>
          <w:lang w:bidi="ar"/>
        </w:rPr>
        <w:t>记录</w:t>
      </w:r>
      <w:r>
        <w:rPr>
          <w:rFonts w:hint="eastAsia" w:asciiTheme="minorEastAsia" w:hAnsiTheme="minorEastAsia" w:cstheme="minorEastAsia"/>
          <w:sz w:val="28"/>
          <w:szCs w:val="28"/>
          <w:lang w:val="zh-CN" w:bidi="ar"/>
        </w:rPr>
        <w:t>。</w:t>
      </w:r>
      <w:r>
        <w:rPr>
          <w:rFonts w:hint="eastAsia" w:asciiTheme="minorEastAsia" w:hAnsiTheme="minorEastAsia" w:cstheme="minorEastAsia"/>
          <w:sz w:val="28"/>
          <w:szCs w:val="28"/>
          <w:lang w:bidi="ar"/>
        </w:rPr>
        <w:t>无论最终复试结果是否合格，复试费用均由承包人承担，已综合考虑到投标报价中。</w:t>
      </w:r>
    </w:p>
    <w:p w14:paraId="144B50B8">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lang w:bidi="ar"/>
        </w:rPr>
      </w:pPr>
      <w:r>
        <w:rPr>
          <w:rFonts w:hint="eastAsia" w:asciiTheme="minorEastAsia" w:hAnsiTheme="minorEastAsia" w:cstheme="minorEastAsia"/>
          <w:sz w:val="28"/>
          <w:szCs w:val="28"/>
          <w:lang w:bidi="ar"/>
        </w:rPr>
        <w:t>5、地材、商品混凝土、沥青混凝土、第三方试验检测单位、主要材料加工企业（如钢结构）等，由承包人向监理单位、发包人提报合同供方名单，经监理单位、发包人考察通过后，方可确定使用。</w:t>
      </w:r>
    </w:p>
    <w:p w14:paraId="0EEB832A">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lang w:bidi="ar"/>
        </w:rPr>
        <w:t>6、严格执行样板开路。对重点分部分项工程，在大面积施工前须先完成施工样板，经各方验收合格后方可大面积施工。</w:t>
      </w:r>
    </w:p>
    <w:p w14:paraId="2E1AD327">
      <w:pPr>
        <w:keepNext w:val="0"/>
        <w:keepLines w:val="0"/>
        <w:pageBreakBefore w:val="0"/>
        <w:kinsoku/>
        <w:wordWrap/>
        <w:overflowPunct/>
        <w:topLinePunct w:val="0"/>
        <w:autoSpaceDE/>
        <w:autoSpaceDN/>
        <w:bidi w:val="0"/>
        <w:adjustRightInd w:val="0"/>
        <w:snapToGrid w:val="0"/>
        <w:spacing w:line="300" w:lineRule="auto"/>
        <w:rPr>
          <w:rFonts w:asciiTheme="minorEastAsia" w:hAnsiTheme="minorEastAsia" w:cstheme="minorEastAsia"/>
          <w:sz w:val="28"/>
          <w:szCs w:val="28"/>
          <w:lang w:bidi="ar"/>
        </w:rPr>
      </w:pPr>
      <w:r>
        <w:rPr>
          <w:rFonts w:hint="eastAsia" w:asciiTheme="minorEastAsia" w:hAnsiTheme="minorEastAsia" w:cstheme="minorEastAsia"/>
          <w:sz w:val="28"/>
          <w:szCs w:val="28"/>
          <w:lang w:bidi="ar"/>
        </w:rPr>
        <w:t>7、对于危险性较大、质量标准要求高、施工技术复杂的分部、分项工程，施工前</w:t>
      </w:r>
      <w:r>
        <w:rPr>
          <w:rFonts w:hint="eastAsia" w:asciiTheme="minorEastAsia" w:hAnsiTheme="minorEastAsia" w:cstheme="minorEastAsia"/>
          <w:sz w:val="28"/>
          <w:szCs w:val="28"/>
          <w:lang w:eastAsia="zh-CN" w:bidi="ar"/>
        </w:rPr>
        <w:t>承包人</w:t>
      </w:r>
      <w:r>
        <w:rPr>
          <w:rFonts w:hint="eastAsia" w:asciiTheme="minorEastAsia" w:hAnsiTheme="minorEastAsia" w:cstheme="minorEastAsia"/>
          <w:sz w:val="28"/>
          <w:szCs w:val="28"/>
          <w:lang w:bidi="ar"/>
        </w:rPr>
        <w:t>应编制有针对性的专项施工方案，报监理单位和发包人审核确认，需要进行专家论证的必须履行专家论证程序后方可实施。</w:t>
      </w:r>
    </w:p>
    <w:p w14:paraId="4A868AAE">
      <w:pPr>
        <w:keepNext w:val="0"/>
        <w:keepLines w:val="0"/>
        <w:pageBreakBefore w:val="0"/>
        <w:kinsoku/>
        <w:wordWrap/>
        <w:overflowPunct/>
        <w:topLinePunct w:val="0"/>
        <w:autoSpaceDE/>
        <w:autoSpaceDN/>
        <w:bidi w:val="0"/>
        <w:adjustRightInd w:val="0"/>
        <w:snapToGrid w:val="0"/>
        <w:spacing w:line="300" w:lineRule="auto"/>
        <w:rPr>
          <w:rFonts w:asciiTheme="minorEastAsia" w:hAnsiTheme="minorEastAsia" w:cstheme="minorEastAsia"/>
          <w:sz w:val="28"/>
          <w:szCs w:val="28"/>
          <w:lang w:val="zh-CN" w:bidi="ar"/>
        </w:rPr>
      </w:pPr>
      <w:r>
        <w:rPr>
          <w:rFonts w:hint="eastAsia" w:asciiTheme="minorEastAsia" w:hAnsiTheme="minorEastAsia" w:cstheme="minorEastAsia"/>
          <w:sz w:val="28"/>
          <w:szCs w:val="28"/>
          <w:lang w:bidi="ar"/>
        </w:rPr>
        <w:t>8、实行举牌验收制度。各分项工程</w:t>
      </w:r>
      <w:r>
        <w:rPr>
          <w:rFonts w:hint="eastAsia" w:asciiTheme="minorEastAsia" w:hAnsiTheme="minorEastAsia" w:cstheme="minorEastAsia"/>
          <w:sz w:val="28"/>
          <w:szCs w:val="28"/>
          <w:lang w:val="zh-CN" w:bidi="ar"/>
        </w:rPr>
        <w:t>验收合格后应现场举牌拍照验收，记录分项工程名称、验收部位、验收内容、验收结论、验收人、验收时间</w:t>
      </w:r>
    </w:p>
    <w:p w14:paraId="313FF706">
      <w:pPr>
        <w:keepNext w:val="0"/>
        <w:keepLines w:val="0"/>
        <w:pageBreakBefore w:val="0"/>
        <w:kinsoku/>
        <w:wordWrap/>
        <w:overflowPunct/>
        <w:topLinePunct w:val="0"/>
        <w:autoSpaceDE/>
        <w:autoSpaceDN/>
        <w:bidi w:val="0"/>
        <w:adjustRightInd w:val="0"/>
        <w:snapToGrid w:val="0"/>
        <w:spacing w:line="300" w:lineRule="auto"/>
        <w:rPr>
          <w:rFonts w:asciiTheme="minorEastAsia" w:hAnsiTheme="minorEastAsia" w:cstheme="minorEastAsia"/>
          <w:sz w:val="28"/>
          <w:szCs w:val="28"/>
          <w:lang w:bidi="ar"/>
        </w:rPr>
      </w:pPr>
      <w:r>
        <w:rPr>
          <w:rFonts w:hint="eastAsia" w:asciiTheme="minorEastAsia" w:hAnsiTheme="minorEastAsia" w:cstheme="minorEastAsia"/>
          <w:sz w:val="28"/>
          <w:szCs w:val="28"/>
          <w:lang w:bidi="ar"/>
        </w:rPr>
        <w:t>9、隐蔽工程验收。</w:t>
      </w:r>
    </w:p>
    <w:p w14:paraId="298434C8">
      <w:pPr>
        <w:keepNext w:val="0"/>
        <w:keepLines w:val="0"/>
        <w:pageBreakBefore w:val="0"/>
        <w:kinsoku/>
        <w:wordWrap/>
        <w:overflowPunct/>
        <w:topLinePunct w:val="0"/>
        <w:autoSpaceDE/>
        <w:autoSpaceDN/>
        <w:bidi w:val="0"/>
        <w:adjustRightInd w:val="0"/>
        <w:snapToGrid w:val="0"/>
        <w:spacing w:line="300" w:lineRule="auto"/>
        <w:rPr>
          <w:rFonts w:asciiTheme="minorEastAsia" w:hAnsiTheme="minorEastAsia" w:cstheme="minorEastAsia"/>
          <w:sz w:val="28"/>
          <w:szCs w:val="28"/>
        </w:rPr>
      </w:pPr>
      <w:r>
        <w:rPr>
          <w:rFonts w:hint="eastAsia" w:asciiTheme="minorEastAsia" w:hAnsiTheme="minorEastAsia" w:cstheme="minorEastAsia"/>
          <w:sz w:val="28"/>
          <w:szCs w:val="28"/>
          <w:lang w:bidi="ar"/>
        </w:rPr>
        <w:t>9.1</w:t>
      </w:r>
      <w:r>
        <w:rPr>
          <w:rFonts w:hint="eastAsia" w:asciiTheme="minorEastAsia" w:hAnsiTheme="minorEastAsia" w:cstheme="minorEastAsia"/>
          <w:sz w:val="28"/>
          <w:szCs w:val="28"/>
          <w:lang w:eastAsia="zh-CN" w:bidi="ar"/>
        </w:rPr>
        <w:t>承包人</w:t>
      </w:r>
      <w:r>
        <w:rPr>
          <w:rFonts w:hint="eastAsia" w:asciiTheme="minorEastAsia" w:hAnsiTheme="minorEastAsia" w:cstheme="minorEastAsia"/>
          <w:sz w:val="28"/>
          <w:szCs w:val="28"/>
          <w:lang w:bidi="ar"/>
        </w:rPr>
        <w:t>进场后应编制隐蔽工程验收工作方案，明确隐蔽验收的专业、部位、内容、标准。隐蔽工程验收内容经监理单位审核后作为后续隐蔽工程验收工作开展的重要依据。</w:t>
      </w:r>
    </w:p>
    <w:p w14:paraId="2F82A7A1">
      <w:pPr>
        <w:keepNext w:val="0"/>
        <w:keepLines w:val="0"/>
        <w:pageBreakBefore w:val="0"/>
        <w:kinsoku/>
        <w:wordWrap/>
        <w:overflowPunct/>
        <w:topLinePunct w:val="0"/>
        <w:autoSpaceDE/>
        <w:autoSpaceDN/>
        <w:bidi w:val="0"/>
        <w:adjustRightInd w:val="0"/>
        <w:snapToGrid w:val="0"/>
        <w:spacing w:line="300" w:lineRule="auto"/>
        <w:rPr>
          <w:rFonts w:asciiTheme="minorEastAsia" w:hAnsiTheme="minorEastAsia" w:cstheme="minorEastAsia"/>
          <w:sz w:val="28"/>
          <w:szCs w:val="28"/>
          <w:lang w:bidi="ar"/>
        </w:rPr>
      </w:pPr>
      <w:r>
        <w:rPr>
          <w:rFonts w:hint="eastAsia" w:asciiTheme="minorEastAsia" w:hAnsiTheme="minorEastAsia" w:cstheme="minorEastAsia"/>
          <w:sz w:val="28"/>
          <w:szCs w:val="28"/>
          <w:lang w:bidi="ar"/>
        </w:rPr>
        <w:t>9.2隐蔽工程必须留存影像资料，随时接收复查取证和审计，并在竣工后提供全套影像资料。</w:t>
      </w:r>
    </w:p>
    <w:p w14:paraId="020DEB48">
      <w:pPr>
        <w:keepNext w:val="0"/>
        <w:keepLines w:val="0"/>
        <w:pageBreakBefore w:val="0"/>
        <w:kinsoku/>
        <w:wordWrap/>
        <w:overflowPunct/>
        <w:topLinePunct w:val="0"/>
        <w:autoSpaceDE/>
        <w:autoSpaceDN/>
        <w:bidi w:val="0"/>
        <w:adjustRightInd w:val="0"/>
        <w:snapToGrid w:val="0"/>
        <w:spacing w:line="300" w:lineRule="auto"/>
        <w:rPr>
          <w:rFonts w:asciiTheme="minorEastAsia" w:hAnsiTheme="minorEastAsia" w:cstheme="minorEastAsia"/>
          <w:sz w:val="28"/>
          <w:szCs w:val="28"/>
          <w:lang w:bidi="ar"/>
        </w:rPr>
      </w:pPr>
      <w:r>
        <w:rPr>
          <w:rFonts w:asciiTheme="minorEastAsia" w:hAnsiTheme="minorEastAsia" w:cstheme="minorEastAsia"/>
          <w:sz w:val="28"/>
          <w:szCs w:val="28"/>
          <w:lang w:bidi="ar"/>
        </w:rPr>
        <w:t>9.3</w:t>
      </w:r>
      <w:r>
        <w:rPr>
          <w:rFonts w:hint="eastAsia" w:asciiTheme="minorEastAsia" w:hAnsiTheme="minorEastAsia" w:cstheme="minorEastAsia"/>
          <w:sz w:val="28"/>
          <w:szCs w:val="28"/>
          <w:lang w:bidi="ar"/>
        </w:rPr>
        <w:t>如果</w:t>
      </w:r>
      <w:r>
        <w:rPr>
          <w:rFonts w:hint="eastAsia" w:asciiTheme="minorEastAsia" w:hAnsiTheme="minorEastAsia" w:cstheme="minorEastAsia"/>
          <w:sz w:val="28"/>
          <w:szCs w:val="28"/>
          <w:lang w:eastAsia="zh-CN" w:bidi="ar"/>
        </w:rPr>
        <w:t>承包人</w:t>
      </w:r>
      <w:r>
        <w:rPr>
          <w:rFonts w:hint="eastAsia" w:asciiTheme="minorEastAsia" w:hAnsiTheme="minorEastAsia" w:cstheme="minorEastAsia"/>
          <w:sz w:val="28"/>
          <w:szCs w:val="28"/>
          <w:lang w:bidi="ar"/>
        </w:rPr>
        <w:t>未通知监理单位验收而自行进行隐蔽工程的，事后监理单位应要求承包人对已隐蔽的工程进行剥露，并在检查后重新隐蔽或者修复后隐蔽。如果经检查隐蔽工程不符合要求的，责令</w:t>
      </w:r>
      <w:r>
        <w:rPr>
          <w:rFonts w:hint="eastAsia" w:asciiTheme="minorEastAsia" w:hAnsiTheme="minorEastAsia" w:cstheme="minorEastAsia"/>
          <w:sz w:val="28"/>
          <w:szCs w:val="28"/>
          <w:lang w:eastAsia="zh-CN" w:bidi="ar"/>
        </w:rPr>
        <w:t>承包人</w:t>
      </w:r>
      <w:r>
        <w:rPr>
          <w:rFonts w:hint="eastAsia" w:asciiTheme="minorEastAsia" w:hAnsiTheme="minorEastAsia" w:cstheme="minorEastAsia"/>
          <w:sz w:val="28"/>
          <w:szCs w:val="28"/>
          <w:lang w:bidi="ar"/>
        </w:rPr>
        <w:t>返工，重新进行隐蔽，并承担由此所发生的费用如检查费用、返工费用、材料费用等以及工期延误的违约责任。</w:t>
      </w:r>
    </w:p>
    <w:p w14:paraId="6C09F35A">
      <w:pPr>
        <w:keepNext w:val="0"/>
        <w:keepLines w:val="0"/>
        <w:pageBreakBefore w:val="0"/>
        <w:kinsoku/>
        <w:wordWrap/>
        <w:overflowPunct/>
        <w:topLinePunct w:val="0"/>
        <w:autoSpaceDE/>
        <w:autoSpaceDN/>
        <w:bidi w:val="0"/>
        <w:adjustRightInd w:val="0"/>
        <w:snapToGrid w:val="0"/>
        <w:spacing w:line="300" w:lineRule="auto"/>
        <w:rPr>
          <w:rFonts w:asciiTheme="minorEastAsia" w:hAnsiTheme="minorEastAsia" w:cstheme="minorEastAsia"/>
          <w:sz w:val="28"/>
          <w:szCs w:val="28"/>
          <w:lang w:bidi="ar"/>
        </w:rPr>
      </w:pPr>
      <w:r>
        <w:rPr>
          <w:rFonts w:hint="eastAsia" w:asciiTheme="minorEastAsia" w:hAnsiTheme="minorEastAsia" w:cstheme="minorEastAsia"/>
          <w:sz w:val="28"/>
          <w:szCs w:val="28"/>
          <w:lang w:bidi="ar"/>
        </w:rPr>
        <w:t>9.</w:t>
      </w:r>
      <w:r>
        <w:rPr>
          <w:rFonts w:asciiTheme="minorEastAsia" w:hAnsiTheme="minorEastAsia" w:cstheme="minorEastAsia"/>
          <w:sz w:val="28"/>
          <w:szCs w:val="28"/>
          <w:lang w:bidi="ar"/>
        </w:rPr>
        <w:t>4</w:t>
      </w:r>
      <w:r>
        <w:rPr>
          <w:rFonts w:hint="eastAsia" w:asciiTheme="minorEastAsia" w:hAnsiTheme="minorEastAsia" w:cstheme="minorEastAsia"/>
          <w:sz w:val="28"/>
          <w:szCs w:val="28"/>
          <w:lang w:bidi="ar"/>
        </w:rPr>
        <w:t>隐蔽工程验收合格后，当监理单位、发包人对某部分工程质量存有怀疑，均应要求承包人重新检验，承包人按要求进行剥离或开孔，并在检验后重新覆盖或修复。当验收不合格时，所有费用均由</w:t>
      </w:r>
      <w:r>
        <w:rPr>
          <w:rFonts w:hint="eastAsia" w:asciiTheme="minorEastAsia" w:hAnsiTheme="minorEastAsia" w:cstheme="minorEastAsia"/>
          <w:sz w:val="28"/>
          <w:szCs w:val="28"/>
          <w:lang w:eastAsia="zh-CN" w:bidi="ar"/>
        </w:rPr>
        <w:t>承包人</w:t>
      </w:r>
      <w:r>
        <w:rPr>
          <w:rFonts w:hint="eastAsia" w:asciiTheme="minorEastAsia" w:hAnsiTheme="minorEastAsia" w:cstheme="minorEastAsia"/>
          <w:sz w:val="28"/>
          <w:szCs w:val="28"/>
          <w:lang w:bidi="ar"/>
        </w:rPr>
        <w:t>承担。当验收合格时，检查及重新施工费用由发包人承担。</w:t>
      </w:r>
    </w:p>
    <w:p w14:paraId="4D91726F">
      <w:pPr>
        <w:keepNext w:val="0"/>
        <w:keepLines w:val="0"/>
        <w:pageBreakBefore w:val="0"/>
        <w:kinsoku/>
        <w:wordWrap/>
        <w:overflowPunct/>
        <w:topLinePunct w:val="0"/>
        <w:autoSpaceDE/>
        <w:autoSpaceDN/>
        <w:bidi w:val="0"/>
        <w:adjustRightInd w:val="0"/>
        <w:snapToGrid w:val="0"/>
        <w:spacing w:line="300" w:lineRule="auto"/>
        <w:rPr>
          <w:rFonts w:asciiTheme="minorEastAsia" w:hAnsiTheme="minorEastAsia" w:cstheme="minorEastAsia"/>
          <w:sz w:val="28"/>
          <w:szCs w:val="28"/>
          <w:lang w:bidi="ar"/>
        </w:rPr>
      </w:pPr>
      <w:r>
        <w:rPr>
          <w:rFonts w:hint="eastAsia" w:asciiTheme="minorEastAsia" w:hAnsiTheme="minorEastAsia" w:cstheme="minorEastAsia"/>
          <w:sz w:val="28"/>
          <w:szCs w:val="28"/>
          <w:lang w:bidi="ar"/>
        </w:rPr>
        <w:t>9.</w:t>
      </w:r>
      <w:r>
        <w:rPr>
          <w:rFonts w:asciiTheme="minorEastAsia" w:hAnsiTheme="minorEastAsia" w:cstheme="minorEastAsia"/>
          <w:sz w:val="28"/>
          <w:szCs w:val="28"/>
          <w:lang w:bidi="ar"/>
        </w:rPr>
        <w:t>5</w:t>
      </w:r>
      <w:r>
        <w:rPr>
          <w:rFonts w:hint="eastAsia" w:asciiTheme="minorEastAsia" w:hAnsiTheme="minorEastAsia" w:cstheme="minorEastAsia"/>
          <w:sz w:val="28"/>
          <w:szCs w:val="28"/>
          <w:lang w:bidi="ar"/>
        </w:rPr>
        <w:t>隐蔽工程终验收合格后</w:t>
      </w:r>
      <w:r>
        <w:rPr>
          <w:rFonts w:hint="eastAsia" w:asciiTheme="minorEastAsia" w:hAnsiTheme="minorEastAsia" w:cstheme="minorEastAsia"/>
          <w:sz w:val="28"/>
          <w:szCs w:val="28"/>
          <w:lang w:eastAsia="zh-CN" w:bidi="ar"/>
        </w:rPr>
        <w:t>承包人</w:t>
      </w:r>
      <w:r>
        <w:rPr>
          <w:rFonts w:hint="eastAsia" w:asciiTheme="minorEastAsia" w:hAnsiTheme="minorEastAsia" w:cstheme="minorEastAsia"/>
          <w:sz w:val="28"/>
          <w:szCs w:val="28"/>
          <w:lang w:bidi="ar"/>
        </w:rPr>
        <w:t>方可进行下一道工序施工，并及时形成隐蔽部位竣工图经专业监理工程、工艺工匠研究院专业工程师签字。</w:t>
      </w:r>
    </w:p>
    <w:p w14:paraId="0BB33AFC">
      <w:pPr>
        <w:pStyle w:val="10"/>
        <w:keepNext w:val="0"/>
        <w:keepLines w:val="0"/>
        <w:pageBreakBefore w:val="0"/>
        <w:numPr>
          <w:ilvl w:val="0"/>
          <w:numId w:val="1"/>
        </w:numPr>
        <w:kinsoku/>
        <w:wordWrap/>
        <w:overflowPunct/>
        <w:topLinePunct w:val="0"/>
        <w:autoSpaceDE/>
        <w:autoSpaceDN/>
        <w:bidi w:val="0"/>
        <w:adjustRightInd w:val="0"/>
        <w:snapToGrid w:val="0"/>
        <w:spacing w:line="300" w:lineRule="auto"/>
        <w:jc w:val="left"/>
        <w:rPr>
          <w:rStyle w:val="11"/>
          <w:rFonts w:ascii="宋体" w:hAnsi="宋体" w:cs="仿宋"/>
          <w:b/>
          <w:bCs/>
          <w:sz w:val="28"/>
          <w:szCs w:val="28"/>
        </w:rPr>
      </w:pPr>
      <w:r>
        <w:rPr>
          <w:rStyle w:val="11"/>
          <w:rFonts w:hint="eastAsia" w:ascii="宋体" w:hAnsi="宋体" w:cs="仿宋"/>
          <w:b/>
          <w:bCs/>
          <w:sz w:val="28"/>
          <w:szCs w:val="28"/>
        </w:rPr>
        <w:t>造价成本管理</w:t>
      </w:r>
    </w:p>
    <w:p w14:paraId="46F28FBA">
      <w:pPr>
        <w:keepNext w:val="0"/>
        <w:keepLines w:val="0"/>
        <w:pageBreakBefore w:val="0"/>
        <w:numPr>
          <w:ilvl w:val="0"/>
          <w:numId w:val="3"/>
        </w:numPr>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进度产值及进度款</w:t>
      </w:r>
    </w:p>
    <w:p w14:paraId="35879D0F">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1.1</w:t>
      </w:r>
      <w:r>
        <w:rPr>
          <w:rFonts w:hint="eastAsia" w:asciiTheme="minorEastAsia" w:hAnsiTheme="minorEastAsia" w:cstheme="minorEastAsia"/>
          <w:sz w:val="28"/>
          <w:szCs w:val="28"/>
          <w:lang w:eastAsia="zh-CN"/>
        </w:rPr>
        <w:t>承包人</w:t>
      </w:r>
      <w:r>
        <w:rPr>
          <w:rFonts w:hint="eastAsia" w:asciiTheme="minorEastAsia" w:hAnsiTheme="minorEastAsia" w:cstheme="minorEastAsia"/>
          <w:sz w:val="28"/>
          <w:szCs w:val="28"/>
        </w:rPr>
        <w:t>必须根据合同约定完成相应的工程量，且工程质量符合国家标准和设计要求。</w:t>
      </w:r>
      <w:r>
        <w:rPr>
          <w:rFonts w:hint="eastAsia" w:asciiTheme="minorEastAsia" w:hAnsiTheme="minorEastAsia" w:cstheme="minorEastAsia"/>
          <w:sz w:val="28"/>
          <w:szCs w:val="28"/>
          <w:lang w:eastAsia="zh-CN"/>
        </w:rPr>
        <w:t>承包人</w:t>
      </w:r>
      <w:r>
        <w:rPr>
          <w:rFonts w:hint="eastAsia" w:asciiTheme="minorEastAsia" w:hAnsiTheme="minorEastAsia" w:cstheme="minorEastAsia"/>
          <w:sz w:val="28"/>
          <w:szCs w:val="28"/>
        </w:rPr>
        <w:t>的进度款申请资料包括工程形象进度审核表、当期发生的工程量签证单、批价单、设计变更台账、扣款单、因市场价格波动引起的材料调差；当前完成的子分部、分项、检验批质量验收记录，隐蔽验收记录；工程量清单计价表（含以往已确认的完工工程量的累计值、计价表应按合同工程量清单内工程量、清单工程量变化增加、变更增加、签证增加、材料价格变化调整增加等分类统计）；工程款支付会签表；广联达等计量计价软件。</w:t>
      </w:r>
    </w:p>
    <w:p w14:paraId="5043377E">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1.2</w:t>
      </w:r>
      <w:r>
        <w:rPr>
          <w:rFonts w:hint="eastAsia" w:asciiTheme="minorEastAsia" w:hAnsiTheme="minorEastAsia" w:cstheme="minorEastAsia"/>
          <w:sz w:val="28"/>
          <w:szCs w:val="28"/>
          <w:lang w:eastAsia="zh-CN"/>
        </w:rPr>
        <w:t>承包人</w:t>
      </w:r>
      <w:r>
        <w:rPr>
          <w:rFonts w:hint="eastAsia" w:asciiTheme="minorEastAsia" w:hAnsiTheme="minorEastAsia" w:cstheme="minorEastAsia"/>
          <w:sz w:val="28"/>
          <w:szCs w:val="28"/>
        </w:rPr>
        <w:t>应提交完整的工程进度报告，包括工程形象进度审核表，应详细写明建筑单体/施工部位、专业、实际完成进度，详细到具体部位如楼层、房间、轴线等以及工序。完成子分部、分项、检验批质量验收记录，隐蔽验收记录的方可纳入形象进度统计范围。</w:t>
      </w:r>
    </w:p>
    <w:p w14:paraId="3603E272">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1.3每月20日前</w:t>
      </w:r>
      <w:r>
        <w:rPr>
          <w:rFonts w:hint="eastAsia" w:asciiTheme="minorEastAsia" w:hAnsiTheme="minorEastAsia" w:cstheme="minorEastAsia"/>
          <w:sz w:val="28"/>
          <w:szCs w:val="28"/>
          <w:lang w:eastAsia="zh-CN"/>
        </w:rPr>
        <w:t>承包人</w:t>
      </w:r>
      <w:r>
        <w:rPr>
          <w:rFonts w:hint="eastAsia" w:asciiTheme="minorEastAsia" w:hAnsiTheme="minorEastAsia" w:cstheme="minorEastAsia"/>
          <w:sz w:val="28"/>
          <w:szCs w:val="28"/>
        </w:rPr>
        <w:t>提报进度款申请资料及下月资金使用计划，经监理人员、造价咨询单位、发包人项目成本管理人员到现场核实实际进度，并于每月25日前出具月度产值及进度款审核报告，分别在工程款支付会签表中签署意见，当期进度款于次月月底前支付。</w:t>
      </w:r>
    </w:p>
    <w:p w14:paraId="77C65479">
      <w:pPr>
        <w:keepNext w:val="0"/>
        <w:keepLines w:val="0"/>
        <w:pageBreakBefore w:val="0"/>
        <w:numPr>
          <w:ilvl w:val="0"/>
          <w:numId w:val="3"/>
        </w:numPr>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工程量签证</w:t>
      </w:r>
    </w:p>
    <w:p w14:paraId="66BFDC94">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2.1签证事项施工时应做好草签记录及前后照片、影像资料。工程量签证现场草签结束后3日内，</w:t>
      </w:r>
      <w:r>
        <w:rPr>
          <w:rFonts w:hint="eastAsia" w:asciiTheme="minorEastAsia" w:hAnsiTheme="minorEastAsia" w:cstheme="minorEastAsia"/>
          <w:sz w:val="28"/>
          <w:szCs w:val="28"/>
          <w:lang w:eastAsia="zh-CN"/>
        </w:rPr>
        <w:t>承包人</w:t>
      </w:r>
      <w:r>
        <w:rPr>
          <w:rFonts w:hint="eastAsia" w:asciiTheme="minorEastAsia" w:hAnsiTheme="minorEastAsia" w:cstheme="minorEastAsia"/>
          <w:sz w:val="28"/>
          <w:szCs w:val="28"/>
        </w:rPr>
        <w:t>汇总统计草签单中的工程量或发生的人工、机械设备台班数量，填写《现场签证单》附草签记录、现场照片。签证签批办理最长不超过28日。若超出28日，每超期一天</w:t>
      </w:r>
      <w:r>
        <w:rPr>
          <w:rFonts w:hint="eastAsia" w:asciiTheme="minorEastAsia" w:hAnsiTheme="minorEastAsia" w:cstheme="minorEastAsia"/>
          <w:sz w:val="28"/>
          <w:szCs w:val="28"/>
          <w:lang w:eastAsia="zh-CN"/>
        </w:rPr>
        <w:t>承包人</w:t>
      </w:r>
      <w:r>
        <w:rPr>
          <w:rFonts w:hint="eastAsia" w:asciiTheme="minorEastAsia" w:hAnsiTheme="minorEastAsia" w:cstheme="minorEastAsia"/>
          <w:sz w:val="28"/>
          <w:szCs w:val="28"/>
        </w:rPr>
        <w:t>承担签证单工程量5‰/天/项的折损，直至全部折损完毕。在竣工结算审计时，按正式签证日期与草签单日期的间隔日历天数予以扣除。</w:t>
      </w:r>
    </w:p>
    <w:p w14:paraId="6479FA30">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2.2</w:t>
      </w:r>
      <w:r>
        <w:rPr>
          <w:rFonts w:hint="eastAsia" w:asciiTheme="minorEastAsia" w:hAnsiTheme="minorEastAsia" w:cstheme="minorEastAsia"/>
          <w:sz w:val="28"/>
          <w:szCs w:val="28"/>
          <w:lang w:eastAsia="zh-CN"/>
        </w:rPr>
        <w:t>承包人</w:t>
      </w:r>
      <w:r>
        <w:rPr>
          <w:rFonts w:hint="eastAsia" w:asciiTheme="minorEastAsia" w:hAnsiTheme="minorEastAsia" w:cstheme="minorEastAsia"/>
          <w:sz w:val="28"/>
          <w:szCs w:val="28"/>
        </w:rPr>
        <w:t>每月20日前，随当月形象进度审核表，汇总当期所完成的《现场签证单》，并形成《现场签证台账》。</w:t>
      </w:r>
    </w:p>
    <w:p w14:paraId="4A3322E4">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2.3造价咨询单位核算汇总当月签证单，列入当月形象进度产值和应付进度款，</w:t>
      </w:r>
      <w:r>
        <w:rPr>
          <w:rFonts w:hint="eastAsia" w:asciiTheme="minorEastAsia" w:hAnsiTheme="minorEastAsia" w:cstheme="minorEastAsia"/>
          <w:sz w:val="28"/>
          <w:szCs w:val="28"/>
          <w:lang w:eastAsia="zh-CN"/>
        </w:rPr>
        <w:t>承包人</w:t>
      </w:r>
      <w:r>
        <w:rPr>
          <w:rFonts w:hint="eastAsia" w:asciiTheme="minorEastAsia" w:hAnsiTheme="minorEastAsia" w:cstheme="minorEastAsia"/>
          <w:sz w:val="28"/>
          <w:szCs w:val="28"/>
        </w:rPr>
        <w:t>未按时汇总报送的不予列入。</w:t>
      </w:r>
    </w:p>
    <w:p w14:paraId="4B49E4D3">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2.4《现场签证单》必须经总监理工程师、发包人现场负责人审核并在会签栏指定区域内签署意见，加盖项目印章，并署明日期，方为有效，否则均为无效；</w:t>
      </w:r>
    </w:p>
    <w:p w14:paraId="4171C6C5">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2.5</w:t>
      </w:r>
      <w:r>
        <w:rPr>
          <w:rFonts w:hint="eastAsia" w:asciiTheme="minorEastAsia" w:hAnsiTheme="minorEastAsia" w:cstheme="minorEastAsia"/>
          <w:sz w:val="28"/>
          <w:szCs w:val="28"/>
          <w:lang w:bidi="ar"/>
        </w:rPr>
        <w:t>签证单编号必须连续，不能有中断，不能有重复编号。</w:t>
      </w:r>
    </w:p>
    <w:p w14:paraId="4CC48863">
      <w:pPr>
        <w:keepNext w:val="0"/>
        <w:keepLines w:val="0"/>
        <w:pageBreakBefore w:val="0"/>
        <w:kinsoku/>
        <w:wordWrap/>
        <w:overflowPunct/>
        <w:topLinePunct w:val="0"/>
        <w:autoSpaceDE/>
        <w:autoSpaceDN/>
        <w:bidi w:val="0"/>
        <w:adjustRightInd w:val="0"/>
        <w:snapToGrid w:val="0"/>
        <w:spacing w:line="300" w:lineRule="auto"/>
        <w:jc w:val="left"/>
        <w:rPr>
          <w:rFonts w:ascii="Times New Roman" w:hAnsi="Times New Roman" w:eastAsia="宋体" w:cs="Times New Roman"/>
          <w:sz w:val="28"/>
          <w:szCs w:val="28"/>
        </w:rPr>
      </w:pPr>
      <w:r>
        <w:rPr>
          <w:rFonts w:hint="eastAsia" w:ascii="Times New Roman" w:hAnsi="Times New Roman" w:eastAsia="宋体" w:cs="Times New Roman"/>
          <w:sz w:val="28"/>
          <w:szCs w:val="28"/>
        </w:rPr>
        <w:t>3、工程批价</w:t>
      </w:r>
    </w:p>
    <w:p w14:paraId="2C02D870">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b/>
          <w:sz w:val="28"/>
          <w:szCs w:val="28"/>
        </w:rPr>
      </w:pPr>
      <w:r>
        <w:rPr>
          <w:rFonts w:hint="eastAsia" w:asciiTheme="minorEastAsia" w:hAnsiTheme="minorEastAsia" w:cstheme="minorEastAsia"/>
          <w:sz w:val="28"/>
          <w:szCs w:val="28"/>
        </w:rPr>
        <w:t>3.1承包人在收到设计变更或工作联系单等涉及清单外批价的工作指令后，涉及批价的内容合同清单内无类似价格参考且无相关定额适用时，应在2日内提报《材料批价申请单》或《综合单价批价申请单》，并对工程量进行估算；材料类批价需明确所报价材料的品牌、技术要求（规格、型号、材质等）以及不含税价格；综合单价类批价需提供综合单价分析表，人、材、机消耗量（套用定额子目）单价表及经监理审核确认的施工工艺方案等资料。</w:t>
      </w:r>
      <w:r>
        <w:rPr>
          <w:rFonts w:hint="eastAsia" w:asciiTheme="minorEastAsia" w:hAnsiTheme="minorEastAsia" w:cstheme="minorEastAsia"/>
          <w:b/>
          <w:sz w:val="28"/>
          <w:szCs w:val="28"/>
        </w:rPr>
        <w:t>逾期28天仍未提报批价申请，事后补办的，承包人须无条件接受发包人的最终审批价格，不得提出异议。结算时批价资料无需施工方签字认可即为有效。</w:t>
      </w:r>
    </w:p>
    <w:p w14:paraId="38F93BE1">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3.2材料（设备）批价申请时，若合同中有品牌要求，严格按照合同约定的品牌要求报价，若合同中无品牌要求的，承包人应至少提供三个品牌的材料（设备）报价并附带厂家的营业执照、技术规格参数、材料质量证明文件等资料，并提供样品或者样册。有必要考察生产厂家的，发包人组织施工、监理、造价咨询单位参与考察。</w:t>
      </w:r>
    </w:p>
    <w:p w14:paraId="41468AC6">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3.3在批价过程中，若发包人反馈的价格不能达成一致的，则发包人组织监理单位、造价咨询单位以及承包人共同当面询价，统一付款方式、供货工期、运费、税费等影响价格的因素，以共同见证的询价结果为准报发包人价格审核部门审核。</w:t>
      </w:r>
      <w:r>
        <w:rPr>
          <w:rFonts w:hint="eastAsia" w:asciiTheme="minorEastAsia" w:hAnsiTheme="minorEastAsia" w:cstheme="minorEastAsia"/>
          <w:sz w:val="28"/>
          <w:szCs w:val="28"/>
        </w:rPr>
        <w:br w:type="textWrapping"/>
      </w:r>
      <w:r>
        <w:rPr>
          <w:rFonts w:hint="eastAsia" w:asciiTheme="minorEastAsia" w:hAnsiTheme="minorEastAsia" w:cstheme="minorEastAsia"/>
          <w:sz w:val="28"/>
          <w:szCs w:val="28"/>
        </w:rPr>
        <w:t>3.4批价需经发包人价格审核部门的最终审核意见《采购价格确认通知单》为准。</w:t>
      </w:r>
    </w:p>
    <w:p w14:paraId="33054167">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3.5承包人不得以发包人和承包人之间未能就变更计价达成一致意见而拒绝实施变更工作，由此造成的工期延误和一切损失由承包人承担。</w:t>
      </w:r>
    </w:p>
    <w:p w14:paraId="6740357C">
      <w:pPr>
        <w:pStyle w:val="2"/>
        <w:keepNext w:val="0"/>
        <w:keepLines w:val="0"/>
        <w:pageBreakBefore w:val="0"/>
        <w:kinsoku/>
        <w:wordWrap/>
        <w:overflowPunct/>
        <w:topLinePunct w:val="0"/>
        <w:autoSpaceDE/>
        <w:autoSpaceDN/>
        <w:bidi w:val="0"/>
        <w:adjustRightInd w:val="0"/>
        <w:snapToGrid w:val="0"/>
        <w:spacing w:line="300" w:lineRule="auto"/>
        <w:ind w:left="0" w:leftChars="0" w:right="63"/>
        <w:jc w:val="both"/>
        <w:rPr>
          <w:rFonts w:eastAsia="宋体" w:cs="Times New Roman"/>
          <w:sz w:val="28"/>
          <w:szCs w:val="28"/>
        </w:rPr>
      </w:pPr>
      <w:r>
        <w:rPr>
          <w:rFonts w:hint="eastAsia" w:eastAsia="宋体" w:cs="Times New Roman"/>
          <w:sz w:val="28"/>
          <w:szCs w:val="28"/>
        </w:rPr>
        <w:t>4、竣工结算</w:t>
      </w:r>
    </w:p>
    <w:p w14:paraId="4BAAC7F7">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4.1承包人严格按照发包人《工程项目结算审计报审资料编制规范》收集、汇总、编制竣工结算资料，确保竣工结算资料送审的完整性、齐全性。</w:t>
      </w:r>
    </w:p>
    <w:p w14:paraId="71561121">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4.2承包人应完善结算资料并充分做好自查工作，竣工结算报审金额应在正常合理水平，杜绝恶意虚报、误报等行为。</w:t>
      </w:r>
    </w:p>
    <w:p w14:paraId="0554D8FB">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4.3承包人严格按照《工程项目审计管理流程》规定的时限办理竣工结算报审，无正当理由逾期报审的严格按合同约定进行考核。</w:t>
      </w:r>
    </w:p>
    <w:p w14:paraId="0AE5F001">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4.4对</w:t>
      </w:r>
      <w:r>
        <w:rPr>
          <w:rFonts w:hint="eastAsia" w:asciiTheme="minorEastAsia" w:hAnsiTheme="minorEastAsia" w:cstheme="minorEastAsia"/>
          <w:sz w:val="28"/>
          <w:szCs w:val="28"/>
          <w:lang w:eastAsia="zh-CN"/>
        </w:rPr>
        <w:t>承包人</w:t>
      </w:r>
      <w:r>
        <w:rPr>
          <w:rFonts w:hint="eastAsia" w:asciiTheme="minorEastAsia" w:hAnsiTheme="minorEastAsia" w:cstheme="minorEastAsia"/>
          <w:sz w:val="28"/>
          <w:szCs w:val="28"/>
        </w:rPr>
        <w:t>存在明显虚报、错报、漏报、补报，审计率偏差超出一定比例将按照合同约定进行考核。</w:t>
      </w:r>
    </w:p>
    <w:p w14:paraId="433066FB">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5、动态成本</w:t>
      </w:r>
    </w:p>
    <w:p w14:paraId="3F92AEB5">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5.1造价咨询公司及承包人需在施工蓝图下发30日内完成重计量，重计量过程中需每日向发包人汇报工作内容及需要协同沟通的问题，如图纸存在疑问，由咨询公司（或</w:t>
      </w:r>
      <w:r>
        <w:rPr>
          <w:rFonts w:hint="eastAsia" w:asciiTheme="minorEastAsia" w:hAnsiTheme="minorEastAsia" w:cstheme="minorEastAsia"/>
          <w:sz w:val="28"/>
          <w:szCs w:val="28"/>
          <w:highlight w:val="none"/>
          <w:lang w:eastAsia="zh-CN"/>
        </w:rPr>
        <w:t>承包人</w:t>
      </w:r>
      <w:r>
        <w:rPr>
          <w:rFonts w:hint="eastAsia" w:asciiTheme="minorEastAsia" w:hAnsiTheme="minorEastAsia" w:cstheme="minorEastAsia"/>
          <w:sz w:val="28"/>
          <w:szCs w:val="28"/>
          <w:highlight w:val="none"/>
        </w:rPr>
        <w:t>）提报《图纸答疑》，经发包成本人员汇总，移交技术室进行统一答复。</w:t>
      </w:r>
      <w:bookmarkStart w:id="0" w:name="_GoBack"/>
      <w:bookmarkEnd w:id="0"/>
    </w:p>
    <w:p w14:paraId="6D64270D">
      <w:pPr>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highlight w:val="none"/>
        </w:rPr>
      </w:pPr>
      <w:r>
        <w:rPr>
          <w:rFonts w:hint="eastAsia" w:asciiTheme="minorEastAsia" w:hAnsiTheme="minorEastAsia" w:cstheme="minorEastAsia"/>
          <w:sz w:val="28"/>
          <w:szCs w:val="28"/>
          <w:highlight w:val="none"/>
        </w:rPr>
        <w:t>5.2承包人应遵守发包人制定的变更流程。根据发包人需要，承包人须在发包人发出变更通知后2日内递交拟实施变更部分增加的费用预算，变更月结月清。</w:t>
      </w:r>
    </w:p>
    <w:p w14:paraId="497AE2B8">
      <w:pPr>
        <w:keepNext w:val="0"/>
        <w:keepLines w:val="0"/>
        <w:pageBreakBefore w:val="0"/>
        <w:kinsoku/>
        <w:wordWrap/>
        <w:overflowPunct/>
        <w:topLinePunct w:val="0"/>
        <w:autoSpaceDE/>
        <w:autoSpaceDN/>
        <w:bidi w:val="0"/>
        <w:adjustRightInd w:val="0"/>
        <w:snapToGrid w:val="0"/>
        <w:spacing w:line="300" w:lineRule="auto"/>
        <w:rPr>
          <w:highlight w:val="none"/>
        </w:rPr>
      </w:pPr>
      <w:r>
        <w:rPr>
          <w:rFonts w:hint="eastAsia" w:asciiTheme="minorEastAsia" w:hAnsiTheme="minorEastAsia" w:cstheme="minorEastAsia"/>
          <w:sz w:val="28"/>
          <w:szCs w:val="28"/>
          <w:highlight w:val="none"/>
        </w:rPr>
        <w:t>5.</w:t>
      </w:r>
      <w:r>
        <w:rPr>
          <w:rFonts w:hint="eastAsia" w:asciiTheme="minorEastAsia" w:hAnsiTheme="minorEastAsia" w:cstheme="minorEastAsia"/>
          <w:sz w:val="28"/>
          <w:szCs w:val="28"/>
          <w:highlight w:val="none"/>
          <w:lang w:val="en-US" w:eastAsia="zh-CN"/>
        </w:rPr>
        <w:t>3</w:t>
      </w:r>
      <w:r>
        <w:rPr>
          <w:rFonts w:hint="eastAsia" w:asciiTheme="minorEastAsia" w:hAnsiTheme="minorEastAsia" w:cstheme="minorEastAsia"/>
          <w:sz w:val="28"/>
          <w:szCs w:val="28"/>
          <w:highlight w:val="none"/>
        </w:rPr>
        <w:t>因市场价波动导致的原合同约定的材料价格与实际采购价格出现差异时，根据合同约定对合同价款进行相应调整。承包方在进行材料采购前，应及时通知发包方，并提供相关资料供发包方确认。</w:t>
      </w:r>
    </w:p>
    <w:p w14:paraId="0B3560D7">
      <w:pPr>
        <w:keepNext w:val="0"/>
        <w:keepLines w:val="0"/>
        <w:pageBreakBefore w:val="0"/>
        <w:kinsoku/>
        <w:wordWrap/>
        <w:overflowPunct/>
        <w:topLinePunct w:val="0"/>
        <w:autoSpaceDE/>
        <w:autoSpaceDN/>
        <w:bidi w:val="0"/>
        <w:adjustRightInd w:val="0"/>
        <w:snapToGrid w:val="0"/>
        <w:spacing w:line="300" w:lineRule="auto"/>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5.4承包人每月月末出具合同动态成本报告，分解至各单体及分部工程，说明当期成本变化情况及原因（是否属于清单本身存在的工程量偏差、漏项等问题，还是设计变更或者现场工程量签证等）。</w:t>
      </w:r>
    </w:p>
    <w:p w14:paraId="16767BBD">
      <w:pPr>
        <w:keepNext w:val="0"/>
        <w:keepLines w:val="0"/>
        <w:pageBreakBefore w:val="0"/>
        <w:numPr>
          <w:ilvl w:val="0"/>
          <w:numId w:val="1"/>
        </w:numPr>
        <w:kinsoku/>
        <w:wordWrap/>
        <w:overflowPunct/>
        <w:topLinePunct w:val="0"/>
        <w:autoSpaceDE/>
        <w:autoSpaceDN/>
        <w:bidi w:val="0"/>
        <w:adjustRightInd w:val="0"/>
        <w:snapToGrid w:val="0"/>
        <w:spacing w:line="30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设计变更管理</w:t>
      </w:r>
    </w:p>
    <w:p w14:paraId="449327F3">
      <w:pPr>
        <w:pStyle w:val="10"/>
        <w:keepNext w:val="0"/>
        <w:keepLines w:val="0"/>
        <w:pageBreakBefore w:val="0"/>
        <w:widowControl w:val="0"/>
        <w:numPr>
          <w:ilvl w:val="0"/>
          <w:numId w:val="4"/>
        </w:numPr>
        <w:kinsoku/>
        <w:wordWrap/>
        <w:overflowPunct/>
        <w:topLinePunct w:val="0"/>
        <w:autoSpaceDE/>
        <w:autoSpaceDN/>
        <w:bidi w:val="0"/>
        <w:adjustRightInd w:val="0"/>
        <w:snapToGrid w:val="0"/>
        <w:spacing w:line="300" w:lineRule="auto"/>
        <w:jc w:val="left"/>
        <w:textAlignment w:val="auto"/>
        <w:rPr>
          <w:rStyle w:val="11"/>
          <w:rFonts w:hint="eastAsia" w:ascii="宋体" w:hAnsi="宋体" w:eastAsia="宋体" w:cs="仿宋"/>
          <w:b w:val="0"/>
          <w:bCs w:val="0"/>
          <w:sz w:val="28"/>
          <w:szCs w:val="28"/>
          <w:lang w:val="en-US" w:eastAsia="zh-CN"/>
        </w:rPr>
      </w:pPr>
      <w:r>
        <w:rPr>
          <w:rStyle w:val="11"/>
          <w:rFonts w:hint="eastAsia" w:ascii="宋体" w:hAnsi="宋体" w:eastAsia="宋体" w:cs="仿宋"/>
          <w:b w:val="0"/>
          <w:bCs w:val="0"/>
          <w:sz w:val="28"/>
          <w:szCs w:val="28"/>
          <w:lang w:val="en-US" w:eastAsia="zh-CN"/>
        </w:rPr>
        <w:t>图纸会审记录、技术联系单、确认单、洽商记录、会议纪要等涉及设计做法调整变化的，应履行发包人工程变更程序，经发包人批准后，设计院出具正式纸质变更单后，方可有效。</w:t>
      </w:r>
    </w:p>
    <w:p w14:paraId="11D24A72">
      <w:pPr>
        <w:pStyle w:val="10"/>
        <w:keepNext w:val="0"/>
        <w:keepLines w:val="0"/>
        <w:pageBreakBefore w:val="0"/>
        <w:widowControl w:val="0"/>
        <w:numPr>
          <w:ilvl w:val="0"/>
          <w:numId w:val="4"/>
        </w:numPr>
        <w:kinsoku/>
        <w:wordWrap/>
        <w:overflowPunct/>
        <w:topLinePunct w:val="0"/>
        <w:autoSpaceDE/>
        <w:autoSpaceDN/>
        <w:bidi w:val="0"/>
        <w:adjustRightInd w:val="0"/>
        <w:snapToGrid w:val="0"/>
        <w:spacing w:line="300" w:lineRule="auto"/>
        <w:jc w:val="left"/>
        <w:textAlignment w:val="auto"/>
        <w:rPr>
          <w:rStyle w:val="11"/>
          <w:rFonts w:hint="default" w:ascii="宋体" w:hAnsi="宋体" w:eastAsia="宋体" w:cs="仿宋"/>
          <w:b w:val="0"/>
          <w:bCs w:val="0"/>
          <w:sz w:val="28"/>
          <w:szCs w:val="28"/>
          <w:lang w:val="en-US" w:eastAsia="zh-CN"/>
        </w:rPr>
      </w:pPr>
      <w:r>
        <w:rPr>
          <w:rStyle w:val="11"/>
          <w:rFonts w:hint="eastAsia" w:ascii="宋体" w:hAnsi="宋体" w:eastAsia="宋体" w:cs="仿宋"/>
          <w:b w:val="0"/>
          <w:bCs w:val="0"/>
          <w:sz w:val="28"/>
          <w:szCs w:val="28"/>
          <w:lang w:val="en-US" w:eastAsia="zh-CN"/>
        </w:rPr>
        <w:t>承包人无条件配合造价咨询单位及发包人进行设计变更的成本测算。</w:t>
      </w:r>
    </w:p>
    <w:p w14:paraId="7C86CBC7">
      <w:pPr>
        <w:pStyle w:val="10"/>
        <w:keepNext w:val="0"/>
        <w:keepLines w:val="0"/>
        <w:pageBreakBefore w:val="0"/>
        <w:widowControl w:val="0"/>
        <w:numPr>
          <w:ilvl w:val="-1"/>
          <w:numId w:val="0"/>
        </w:numPr>
        <w:kinsoku/>
        <w:wordWrap/>
        <w:overflowPunct/>
        <w:topLinePunct w:val="0"/>
        <w:autoSpaceDE/>
        <w:autoSpaceDN/>
        <w:bidi w:val="0"/>
        <w:adjustRightInd w:val="0"/>
        <w:snapToGrid w:val="0"/>
        <w:spacing w:line="300" w:lineRule="auto"/>
        <w:jc w:val="left"/>
        <w:textAlignment w:val="auto"/>
        <w:rPr>
          <w:rFonts w:hint="eastAsia" w:asciiTheme="minorEastAsia" w:hAnsiTheme="minorEastAsia" w:eastAsiaTheme="minorEastAsia" w:cstheme="minorEastAsia"/>
          <w:b w:val="0"/>
          <w:bCs w:val="0"/>
          <w:sz w:val="28"/>
          <w:szCs w:val="28"/>
        </w:rPr>
      </w:pPr>
      <w:r>
        <w:rPr>
          <w:rStyle w:val="11"/>
          <w:rFonts w:hint="eastAsia" w:ascii="宋体" w:hAnsi="宋体" w:eastAsia="宋体" w:cs="仿宋"/>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承包人</w:t>
      </w:r>
      <w:r>
        <w:rPr>
          <w:rFonts w:hint="eastAsia" w:asciiTheme="minorEastAsia" w:hAnsiTheme="minorEastAsia" w:eastAsiaTheme="minorEastAsia" w:cstheme="minorEastAsia"/>
          <w:b w:val="0"/>
          <w:bCs w:val="0"/>
          <w:sz w:val="28"/>
          <w:szCs w:val="28"/>
        </w:rPr>
        <w:t>应当建立设计变更</w:t>
      </w:r>
      <w:r>
        <w:rPr>
          <w:rFonts w:hint="eastAsia" w:asciiTheme="minorEastAsia" w:hAnsiTheme="minorEastAsia" w:cstheme="minorEastAsia"/>
          <w:b w:val="0"/>
          <w:bCs w:val="0"/>
          <w:sz w:val="28"/>
          <w:szCs w:val="28"/>
          <w:lang w:val="en-US" w:eastAsia="zh-CN"/>
        </w:rPr>
        <w:t>台账</w:t>
      </w:r>
      <w:r>
        <w:rPr>
          <w:rFonts w:hint="eastAsia" w:asciiTheme="minorEastAsia" w:hAnsiTheme="minorEastAsia" w:eastAsiaTheme="minorEastAsia" w:cstheme="minorEastAsia"/>
          <w:b w:val="0"/>
          <w:bCs w:val="0"/>
          <w:sz w:val="28"/>
          <w:szCs w:val="28"/>
        </w:rPr>
        <w:t>，</w:t>
      </w:r>
      <w:r>
        <w:rPr>
          <w:rFonts w:hint="eastAsia" w:asciiTheme="minorEastAsia" w:hAnsiTheme="minorEastAsia" w:cstheme="minorEastAsia"/>
          <w:b w:val="0"/>
          <w:bCs w:val="0"/>
          <w:sz w:val="28"/>
          <w:szCs w:val="28"/>
          <w:lang w:val="en-US" w:eastAsia="zh-CN"/>
        </w:rPr>
        <w:t>记录每次设计变更，写明单体（单项工程）、专业、原图纸号、变更事由、变更日期、出图日期等。并对</w:t>
      </w:r>
      <w:r>
        <w:rPr>
          <w:rFonts w:hint="eastAsia" w:asciiTheme="minorEastAsia" w:hAnsiTheme="minorEastAsia" w:eastAsiaTheme="minorEastAsia" w:cstheme="minorEastAsia"/>
          <w:b w:val="0"/>
          <w:bCs w:val="0"/>
          <w:sz w:val="28"/>
          <w:szCs w:val="28"/>
        </w:rPr>
        <w:t>每一次设计变更的实施过程进行全程跟踪和记录，发现问题及时处理，确保设计变更的实施效果和质量。</w:t>
      </w:r>
    </w:p>
    <w:p w14:paraId="1645ECEC">
      <w:pPr>
        <w:pStyle w:val="10"/>
        <w:keepNext w:val="0"/>
        <w:keepLines w:val="0"/>
        <w:pageBreakBefore w:val="0"/>
        <w:widowControl w:val="0"/>
        <w:numPr>
          <w:ilvl w:val="-1"/>
          <w:numId w:val="0"/>
        </w:numPr>
        <w:kinsoku/>
        <w:wordWrap/>
        <w:overflowPunct/>
        <w:topLinePunct w:val="0"/>
        <w:autoSpaceDE/>
        <w:autoSpaceDN/>
        <w:bidi w:val="0"/>
        <w:adjustRightInd w:val="0"/>
        <w:snapToGrid w:val="0"/>
        <w:spacing w:line="300" w:lineRule="auto"/>
        <w:jc w:val="left"/>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rPr>
        <w:t>、</w:t>
      </w:r>
      <w:r>
        <w:rPr>
          <w:rFonts w:hint="eastAsia" w:asciiTheme="minorEastAsia" w:hAnsiTheme="minorEastAsia" w:cstheme="minorEastAsia"/>
          <w:b w:val="0"/>
          <w:bCs w:val="0"/>
          <w:sz w:val="28"/>
          <w:szCs w:val="28"/>
          <w:lang w:val="en-US" w:eastAsia="zh-CN"/>
        </w:rPr>
        <w:t>每月末承包人与监理单位、造价咨询单位及发包人进行设计变更台账核对，确保资料无遗漏。</w:t>
      </w:r>
    </w:p>
    <w:p w14:paraId="64CFBBA6">
      <w:pPr>
        <w:pStyle w:val="10"/>
        <w:keepNext w:val="0"/>
        <w:keepLines w:val="0"/>
        <w:pageBreakBefore w:val="0"/>
        <w:widowControl w:val="0"/>
        <w:numPr>
          <w:ilvl w:val="-1"/>
          <w:numId w:val="0"/>
        </w:numPr>
        <w:kinsoku/>
        <w:wordWrap/>
        <w:overflowPunct/>
        <w:topLinePunct w:val="0"/>
        <w:autoSpaceDE/>
        <w:autoSpaceDN/>
        <w:bidi w:val="0"/>
        <w:adjustRightInd w:val="0"/>
        <w:snapToGrid w:val="0"/>
        <w:spacing w:line="300" w:lineRule="auto"/>
        <w:jc w:val="left"/>
        <w:textAlignment w:val="auto"/>
        <w:rPr>
          <w:rFonts w:hint="eastAsia" w:asciiTheme="minorEastAsia" w:hAnsiTheme="minorEastAsia" w:eastAsiaTheme="minorEastAsia" w:cstheme="minorEastAsia"/>
          <w:b w:val="0"/>
          <w:bCs w:val="0"/>
          <w:sz w:val="28"/>
          <w:szCs w:val="28"/>
        </w:rPr>
      </w:pPr>
      <w:r>
        <w:rPr>
          <w:rFonts w:hint="eastAsia" w:asciiTheme="minorEastAsia" w:hAnsiTheme="minorEastAsia" w:cstheme="minorEastAsia"/>
          <w:b w:val="0"/>
          <w:bCs w:val="0"/>
          <w:sz w:val="28"/>
          <w:szCs w:val="28"/>
          <w:lang w:val="en-US" w:eastAsia="zh-CN"/>
        </w:rPr>
        <w:t>4</w:t>
      </w:r>
      <w:r>
        <w:rPr>
          <w:rFonts w:hint="eastAsia" w:asciiTheme="minorEastAsia" w:hAnsiTheme="minorEastAsia" w:eastAsiaTheme="minorEastAsia" w:cstheme="minorEastAsia"/>
          <w:b w:val="0"/>
          <w:bCs w:val="0"/>
          <w:sz w:val="28"/>
          <w:szCs w:val="28"/>
        </w:rPr>
        <w:t>、设计变更</w:t>
      </w:r>
      <w:r>
        <w:rPr>
          <w:rFonts w:hint="eastAsia" w:asciiTheme="minorEastAsia" w:hAnsiTheme="minorEastAsia" w:cstheme="minorEastAsia"/>
          <w:b w:val="0"/>
          <w:bCs w:val="0"/>
          <w:sz w:val="28"/>
          <w:szCs w:val="28"/>
          <w:lang w:val="en-US" w:eastAsia="zh-CN"/>
        </w:rPr>
        <w:t>实施结束后</w:t>
      </w:r>
      <w:r>
        <w:rPr>
          <w:rFonts w:hint="eastAsia" w:asciiTheme="minorEastAsia" w:hAnsiTheme="minorEastAsia" w:eastAsiaTheme="minorEastAsia" w:cstheme="minorEastAsia"/>
          <w:b w:val="0"/>
          <w:bCs w:val="0"/>
          <w:sz w:val="28"/>
          <w:szCs w:val="28"/>
        </w:rPr>
        <w:t>出具成本分析报告，说明此项变更造成的成本增减变化。</w:t>
      </w:r>
      <w:r>
        <w:rPr>
          <w:rFonts w:hint="eastAsia" w:asciiTheme="minorEastAsia" w:hAnsiTheme="minorEastAsia" w:cstheme="minorEastAsia"/>
          <w:b w:val="0"/>
          <w:bCs w:val="0"/>
          <w:sz w:val="28"/>
          <w:szCs w:val="28"/>
          <w:lang w:val="en-US" w:eastAsia="zh-CN"/>
        </w:rPr>
        <w:t>记入</w:t>
      </w:r>
      <w:r>
        <w:rPr>
          <w:rFonts w:hint="eastAsia" w:asciiTheme="minorEastAsia" w:hAnsiTheme="minorEastAsia" w:eastAsiaTheme="minorEastAsia" w:cstheme="minorEastAsia"/>
          <w:b w:val="0"/>
          <w:bCs w:val="0"/>
          <w:sz w:val="28"/>
          <w:szCs w:val="28"/>
        </w:rPr>
        <w:t>设计变更台账，说明变更原因或理由、变更前后对比变化内容等</w:t>
      </w:r>
    </w:p>
    <w:p w14:paraId="78193D0E">
      <w:pPr>
        <w:pStyle w:val="10"/>
        <w:keepNext w:val="0"/>
        <w:keepLines w:val="0"/>
        <w:pageBreakBefore w:val="0"/>
        <w:widowControl w:val="0"/>
        <w:numPr>
          <w:ilvl w:val="-1"/>
          <w:numId w:val="0"/>
        </w:numPr>
        <w:kinsoku/>
        <w:wordWrap/>
        <w:overflowPunct/>
        <w:topLinePunct w:val="0"/>
        <w:autoSpaceDE/>
        <w:autoSpaceDN/>
        <w:bidi w:val="0"/>
        <w:adjustRightInd w:val="0"/>
        <w:snapToGrid w:val="0"/>
        <w:spacing w:line="300" w:lineRule="auto"/>
        <w:jc w:val="left"/>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5</w:t>
      </w:r>
      <w:r>
        <w:rPr>
          <w:rFonts w:hint="eastAsia" w:asciiTheme="minorEastAsia" w:hAnsiTheme="minorEastAsia" w:eastAsiaTheme="minorEastAsia" w:cstheme="minorEastAsia"/>
          <w:b w:val="0"/>
          <w:bCs w:val="0"/>
          <w:sz w:val="28"/>
          <w:szCs w:val="28"/>
        </w:rPr>
        <w:t>、竣工图应在施工过程</w:t>
      </w:r>
      <w:r>
        <w:rPr>
          <w:rFonts w:hint="eastAsia" w:asciiTheme="minorEastAsia" w:hAnsiTheme="minorEastAsia" w:cstheme="minorEastAsia"/>
          <w:b w:val="0"/>
          <w:bCs w:val="0"/>
          <w:sz w:val="28"/>
          <w:szCs w:val="28"/>
          <w:lang w:val="en-US" w:eastAsia="zh-CN"/>
        </w:rPr>
        <w:t>及时签认。当施工完成完整的一张施工图时</w:t>
      </w:r>
      <w:r>
        <w:rPr>
          <w:rFonts w:hint="eastAsia" w:asciiTheme="minorEastAsia" w:hAnsiTheme="minorEastAsia" w:eastAsiaTheme="minorEastAsia" w:cstheme="minorEastAsia"/>
          <w:b w:val="0"/>
          <w:bCs w:val="0"/>
          <w:sz w:val="28"/>
          <w:szCs w:val="28"/>
        </w:rPr>
        <w:t>中</w:t>
      </w:r>
      <w:r>
        <w:rPr>
          <w:rFonts w:hint="eastAsia" w:asciiTheme="minorEastAsia" w:hAnsiTheme="minorEastAsia" w:cstheme="minorEastAsia"/>
          <w:b w:val="0"/>
          <w:bCs w:val="0"/>
          <w:sz w:val="28"/>
          <w:szCs w:val="28"/>
          <w:lang w:val="en-US" w:eastAsia="zh-CN"/>
        </w:rPr>
        <w:t>立即组织监理人员、发包人审核签字形成竣工图。</w:t>
      </w:r>
    </w:p>
    <w:p w14:paraId="68BC6791">
      <w:pPr>
        <w:pStyle w:val="10"/>
        <w:keepNext w:val="0"/>
        <w:keepLines w:val="0"/>
        <w:pageBreakBefore w:val="0"/>
        <w:numPr>
          <w:ilvl w:val="0"/>
          <w:numId w:val="1"/>
        </w:numPr>
        <w:kinsoku/>
        <w:wordWrap/>
        <w:overflowPunct/>
        <w:topLinePunct w:val="0"/>
        <w:autoSpaceDE/>
        <w:autoSpaceDN/>
        <w:bidi w:val="0"/>
        <w:adjustRightInd w:val="0"/>
        <w:snapToGrid w:val="0"/>
        <w:spacing w:line="300" w:lineRule="auto"/>
        <w:jc w:val="left"/>
        <w:rPr>
          <w:rStyle w:val="11"/>
          <w:rFonts w:ascii="宋体" w:hAnsi="宋体" w:cs="仿宋"/>
          <w:b/>
          <w:bCs/>
          <w:sz w:val="28"/>
          <w:szCs w:val="28"/>
        </w:rPr>
      </w:pPr>
      <w:r>
        <w:rPr>
          <w:rStyle w:val="11"/>
          <w:rFonts w:hint="eastAsia" w:ascii="宋体" w:hAnsi="宋体" w:cs="仿宋"/>
          <w:b/>
          <w:bCs/>
          <w:sz w:val="28"/>
          <w:szCs w:val="28"/>
        </w:rPr>
        <w:t>施工进度管理</w:t>
      </w:r>
    </w:p>
    <w:p w14:paraId="14CB5CF5">
      <w:pPr>
        <w:pStyle w:val="10"/>
        <w:keepNext w:val="0"/>
        <w:keepLines w:val="0"/>
        <w:pageBreakBefore w:val="0"/>
        <w:numPr>
          <w:ilvl w:val="0"/>
          <w:numId w:val="5"/>
        </w:numPr>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lang w:eastAsia="zh-CN"/>
        </w:rPr>
        <w:t>承包人</w:t>
      </w:r>
      <w:r>
        <w:rPr>
          <w:rFonts w:hint="eastAsia" w:asciiTheme="minorEastAsia" w:hAnsiTheme="minorEastAsia" w:cstheme="minorEastAsia"/>
          <w:sz w:val="28"/>
          <w:szCs w:val="28"/>
        </w:rPr>
        <w:t>进场后一周内完成书面编制施工总体进度计划报监理单位、发包人审核，审核通过后施工项目经理签字盖章并打印上墙。根据施工总体进度计划编制月进度计划和周进度计划、关键节点或专项进度计划。</w:t>
      </w:r>
    </w:p>
    <w:p w14:paraId="75B22E98">
      <w:pPr>
        <w:pStyle w:val="10"/>
        <w:keepNext w:val="0"/>
        <w:keepLines w:val="0"/>
        <w:pageBreakBefore w:val="0"/>
        <w:numPr>
          <w:ilvl w:val="0"/>
          <w:numId w:val="5"/>
        </w:numPr>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Style w:val="11"/>
          <w:rFonts w:hint="eastAsia" w:ascii="宋体" w:hAnsi="宋体" w:eastAsia="宋体" w:cs="仿宋"/>
          <w:sz w:val="28"/>
          <w:szCs w:val="28"/>
        </w:rPr>
        <w:t>施工过程中，承包人应向监理人、发包人递交一份每日的日进度报表、每周的周进度报表和每月的月进度报表。</w:t>
      </w:r>
      <w:r>
        <w:rPr>
          <w:rFonts w:hint="eastAsia" w:asciiTheme="minorEastAsia" w:hAnsiTheme="minorEastAsia" w:cstheme="minorEastAsia"/>
          <w:sz w:val="28"/>
          <w:szCs w:val="28"/>
        </w:rPr>
        <w:t>每日报送施工日报，包括但不限于：当日施工内容及次日施工计划，且要全面涵盖施工人员数量、机械、材料数量，措施及需要协调事宜等内容。</w:t>
      </w:r>
    </w:p>
    <w:p w14:paraId="1B50E5E8">
      <w:pPr>
        <w:pStyle w:val="10"/>
        <w:keepNext w:val="0"/>
        <w:keepLines w:val="0"/>
        <w:pageBreakBefore w:val="0"/>
        <w:kinsoku/>
        <w:wordWrap/>
        <w:overflowPunct/>
        <w:topLinePunct w:val="0"/>
        <w:autoSpaceDE/>
        <w:autoSpaceDN/>
        <w:bidi w:val="0"/>
        <w:adjustRightInd w:val="0"/>
        <w:snapToGrid w:val="0"/>
        <w:spacing w:line="300" w:lineRule="auto"/>
        <w:jc w:val="left"/>
        <w:rPr>
          <w:rStyle w:val="11"/>
          <w:rFonts w:ascii="宋体" w:hAnsi="宋体" w:cs="仿宋"/>
          <w:b/>
          <w:bCs/>
          <w:sz w:val="28"/>
          <w:szCs w:val="28"/>
        </w:rPr>
      </w:pPr>
      <w:r>
        <w:rPr>
          <w:rStyle w:val="11"/>
          <w:rFonts w:hint="eastAsia" w:ascii="宋体" w:hAnsi="宋体" w:eastAsia="宋体" w:cs="仿宋"/>
          <w:sz w:val="28"/>
          <w:szCs w:val="28"/>
        </w:rPr>
        <w:t>3、监理人将主持召开有发包人、承包人和主要分包人等与本工程建设有关各方出席的每周一次的进度例会。必要时，监理人可随时召集所有上述各方或其中部分单位参加的会议。承包人应保证能代表其当场作出决定的高级管理人员出席会议。</w:t>
      </w:r>
    </w:p>
    <w:p w14:paraId="4712B24C">
      <w:pPr>
        <w:pStyle w:val="10"/>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4、计划的调整、纠偏：在施工过程中，施工实际进度与进度计划发生偏离时，承包人应向监理人提交调整的施工进度计划，并附具有关措施和相关资料，由监理人报送发包人。每当关键节点发生延期时，必须提出书面申请经监理人、发包人批准后方可调整总进度计划。发包人和监理人对承包人提交的施工进度计划的确认，不能减轻或免除承包人根据法律规定和合同约定应承担的任何责任或义务。</w:t>
      </w:r>
    </w:p>
    <w:p w14:paraId="198B12F7">
      <w:pPr>
        <w:pStyle w:val="10"/>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5、</w:t>
      </w:r>
      <w:r>
        <w:rPr>
          <w:rFonts w:asciiTheme="minorEastAsia" w:hAnsiTheme="minorEastAsia" w:cstheme="minorEastAsia"/>
          <w:sz w:val="28"/>
          <w:szCs w:val="28"/>
        </w:rPr>
        <w:t>施工进度滞后，</w:t>
      </w:r>
      <w:r>
        <w:rPr>
          <w:rFonts w:hint="eastAsia" w:asciiTheme="minorEastAsia" w:hAnsiTheme="minorEastAsia" w:cstheme="minorEastAsia"/>
          <w:sz w:val="28"/>
          <w:szCs w:val="28"/>
        </w:rPr>
        <w:t>对于</w:t>
      </w:r>
      <w:r>
        <w:rPr>
          <w:rFonts w:asciiTheme="minorEastAsia" w:hAnsiTheme="minorEastAsia" w:cstheme="minorEastAsia"/>
          <w:sz w:val="28"/>
          <w:szCs w:val="28"/>
        </w:rPr>
        <w:t>组织抢工措施不力，消极应对、采取考核措施仍不见效的</w:t>
      </w:r>
      <w:r>
        <w:rPr>
          <w:rFonts w:hint="eastAsia" w:asciiTheme="minorEastAsia" w:hAnsiTheme="minorEastAsia" w:cstheme="minorEastAsia"/>
          <w:sz w:val="28"/>
          <w:szCs w:val="28"/>
          <w:lang w:eastAsia="zh-CN"/>
        </w:rPr>
        <w:t>承包人</w:t>
      </w:r>
      <w:r>
        <w:rPr>
          <w:rFonts w:asciiTheme="minorEastAsia" w:hAnsiTheme="minorEastAsia" w:cstheme="minorEastAsia"/>
          <w:sz w:val="28"/>
          <w:szCs w:val="28"/>
        </w:rPr>
        <w:t>，将采取公司发函、约谈责任单位企业负责人，情节严重的将列入黑名单，取消今后项目招标入围资格。</w:t>
      </w:r>
    </w:p>
    <w:p w14:paraId="301FF91B">
      <w:pPr>
        <w:pStyle w:val="10"/>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6、</w:t>
      </w:r>
      <w:r>
        <w:rPr>
          <w:rFonts w:asciiTheme="minorEastAsia" w:hAnsiTheme="minorEastAsia" w:cstheme="minorEastAsia"/>
          <w:sz w:val="28"/>
          <w:szCs w:val="28"/>
        </w:rPr>
        <w:t>若承包人施工进度严重滞后且无有效抢工措施，施工进度无明显改善的，经发包人函告后仍未在通知的时间内积极采取有效措施达到现场进度要求的，发包人有权自行委托其他</w:t>
      </w:r>
      <w:r>
        <w:rPr>
          <w:rFonts w:hint="eastAsia" w:asciiTheme="minorEastAsia" w:hAnsiTheme="minorEastAsia" w:cstheme="minorEastAsia"/>
          <w:sz w:val="28"/>
          <w:szCs w:val="28"/>
          <w:lang w:eastAsia="zh-CN"/>
        </w:rPr>
        <w:t>承包人</w:t>
      </w:r>
      <w:r>
        <w:rPr>
          <w:rFonts w:asciiTheme="minorEastAsia" w:hAnsiTheme="minorEastAsia" w:cstheme="minorEastAsia"/>
          <w:sz w:val="28"/>
          <w:szCs w:val="28"/>
        </w:rPr>
        <w:t>（第三方）替代施工，而不构成违约，承包人须无条件服从。第三方</w:t>
      </w:r>
      <w:r>
        <w:rPr>
          <w:rFonts w:hint="eastAsia" w:asciiTheme="minorEastAsia" w:hAnsiTheme="minorEastAsia" w:cstheme="minorEastAsia"/>
          <w:sz w:val="28"/>
          <w:szCs w:val="28"/>
          <w:lang w:eastAsia="zh-CN"/>
        </w:rPr>
        <w:t>承包人</w:t>
      </w:r>
      <w:r>
        <w:rPr>
          <w:rFonts w:asciiTheme="minorEastAsia" w:hAnsiTheme="minorEastAsia" w:cstheme="minorEastAsia"/>
          <w:sz w:val="28"/>
          <w:szCs w:val="28"/>
        </w:rPr>
        <w:t>施工所发生的费用，由</w:t>
      </w:r>
      <w:r>
        <w:rPr>
          <w:rFonts w:hint="eastAsia" w:asciiTheme="minorEastAsia" w:hAnsiTheme="minorEastAsia" w:cstheme="minorEastAsia"/>
          <w:sz w:val="28"/>
          <w:szCs w:val="28"/>
        </w:rPr>
        <w:t>发包</w:t>
      </w:r>
      <w:r>
        <w:rPr>
          <w:rFonts w:asciiTheme="minorEastAsia" w:hAnsiTheme="minorEastAsia" w:cstheme="minorEastAsia"/>
          <w:sz w:val="28"/>
          <w:szCs w:val="28"/>
        </w:rPr>
        <w:t>人书面认可即视为有效且承包人亦认可，最终由承包人承担，承担方式：承包人直接向第三方支付或由发包人代为支付，在承包人的竣工结算中对成本增加部分（双方价差）予以扣减。</w:t>
      </w:r>
    </w:p>
    <w:p w14:paraId="341ADE9F">
      <w:pPr>
        <w:pStyle w:val="10"/>
        <w:keepNext w:val="0"/>
        <w:keepLines w:val="0"/>
        <w:pageBreakBefore w:val="0"/>
        <w:numPr>
          <w:ilvl w:val="0"/>
          <w:numId w:val="1"/>
        </w:numPr>
        <w:kinsoku/>
        <w:wordWrap/>
        <w:overflowPunct/>
        <w:topLinePunct w:val="0"/>
        <w:autoSpaceDE/>
        <w:autoSpaceDN/>
        <w:bidi w:val="0"/>
        <w:adjustRightInd w:val="0"/>
        <w:snapToGrid w:val="0"/>
        <w:spacing w:line="300" w:lineRule="auto"/>
        <w:jc w:val="left"/>
        <w:rPr>
          <w:rFonts w:asciiTheme="minorEastAsia" w:hAnsiTheme="minorEastAsia" w:cstheme="minorEastAsia"/>
          <w:b/>
          <w:bCs/>
          <w:sz w:val="28"/>
          <w:szCs w:val="28"/>
        </w:rPr>
      </w:pPr>
      <w:r>
        <w:rPr>
          <w:rFonts w:hint="eastAsia" w:asciiTheme="minorEastAsia" w:hAnsiTheme="minorEastAsia" w:cstheme="minorEastAsia"/>
          <w:b/>
          <w:bCs/>
          <w:sz w:val="28"/>
          <w:szCs w:val="28"/>
        </w:rPr>
        <w:t>安全施工管理</w:t>
      </w:r>
    </w:p>
    <w:p w14:paraId="3FFCC791">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1、安全防护 </w:t>
      </w:r>
    </w:p>
    <w:p w14:paraId="485AAF6F">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1）承包人应坚持“安全第一，预防为主”的方针，建立、健全安全生产责任制度和安全生产教育培训制度。在整个工程施工期间，承包人应在施工场地(现场)设立、提供和维护相关安全设施并在有关工作完成或竣工后撤除： </w:t>
      </w:r>
    </w:p>
    <w:p w14:paraId="429D95C1">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1）设立在现场入口显著位置的现场施工总平面图、总平面管理、安全生产、文明施工、 环境保护、质量控制、材料管理等的规章制度和主要参建单位名称和工程概况等说明的图板； </w:t>
      </w:r>
    </w:p>
    <w:p w14:paraId="1FF78FDD">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2）为确保工程安全施工须设立的足够的标志、宣传画、标语、指示牌、警告牌、火警、 匪警和急救电话提示牌等等； </w:t>
      </w:r>
    </w:p>
    <w:p w14:paraId="4E61DD9B">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3）洞口和临边位置的安全防护设施，包括护身栏杆、脚手架、洞口盖板和加筋、竖井防、护栏杆、防护棚、防护网、坡道等等； </w:t>
      </w:r>
    </w:p>
    <w:p w14:paraId="6A6BC4B9">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4）安全带、安全绳、安全帽、安全网、绝缘鞋、绝缘手套、防护口罩和防护衣等安全生产用品； </w:t>
      </w:r>
    </w:p>
    <w:p w14:paraId="27B5DF34">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5）所有机械设备包括各类电动工具的安全保护和接地装置和操作说明；  </w:t>
      </w:r>
    </w:p>
    <w:p w14:paraId="0BF8D03C">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6）主要作业场所和临时安全疏散通道 24 小时 36 伏安全照明和必要的警示等以防止各种可能的事故； </w:t>
      </w:r>
    </w:p>
    <w:p w14:paraId="7FA3D714">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8）足够数量的和合格的手提灭火器； </w:t>
      </w:r>
    </w:p>
    <w:p w14:paraId="72E31FD4">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9）装备良好的易燃易爆物品仓库和相应的使用管理制度； </w:t>
      </w:r>
    </w:p>
    <w:p w14:paraId="41CEDF99">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10）对涉及明火施工的工作制定诸如用火证等的管理制度； </w:t>
      </w:r>
    </w:p>
    <w:p w14:paraId="51A1B852">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11）其他：未尽事宜执行国家及地方政府相关规定 。 </w:t>
      </w:r>
    </w:p>
    <w:p w14:paraId="27283A15">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（3）安全文明施工费用必须专款专用，承包人应对其由于安全文明施工费用和施工安全措施不到位而发生的安全事故承担全部责任。 </w:t>
      </w:r>
    </w:p>
    <w:p w14:paraId="22895C6B">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4）承包人应建立专门的施工场地(现场)安全生产管理机构，配备足够数量的和符合有关规定的专职安全生产管理人员，负责日常安全生产巡查和专项检查，召集和主持现场全体人员参加的安全生产例会(每周至少一次)，负责安全技术交底和技术方案的安全把关，负责制定或审核安全隐患的整改措施并监督落实，负责安全资料的整理和管理，及时消除安全隐患，做好安全检查记录，确保所有的安全设施都处于良好的运转状态。承包人项目负责人（项目经理）和专职安全生产管理人员均应当具备有效的安全生产考核合格证书。 </w:t>
      </w:r>
    </w:p>
    <w:p w14:paraId="340993FE">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5）承包人应遵照有关法规要求，编印安全防护手册发给进场施工人员，做好进场施工人员上岗前的安全教育和培训工作，并建立考核制度，只有考核合格的人员才能进场施工作业。特种作业人员还应经过专门的安全作业培训，并取得特种作业操作资格证书后方可上岗。在任何分部分项工程开始施工前，承包人应当就有关安全施工的技术要求向施工作业班组和作业人员等进行安全交底，并由双方签字确认。 </w:t>
      </w:r>
    </w:p>
    <w:p w14:paraId="4DA5128F">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（6）承包人应为其进场施工人员配备必需的安全防护设施和设备，承包人还应为施工场地 (现场)邻近地区的所有者和占有者、公众和其他人员，提供一切必要的临时道路、人行道、防护棚、围栏及警告等，以确保财产和人身安全以及最大程度地降低施工可能造成的不便。 </w:t>
      </w:r>
    </w:p>
    <w:p w14:paraId="68152775">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7）承包人应在施工场地(现场)入口处、施工起重机械、临时用电设施、脚手架、出入通道口、楼梯口、电梯井口、孔洞口、隧道口、基坑边沿、危险品存放处等危险部位设置一切必需的安全警示标志，包括但不限于标准道路标志、报警标志、危险标志、控制标志、安全标志、指示标志、警告标志等，并配备必要的照明、防护和看守。承包人应当按监理人的指示，经常补充或更换失效的警示和标志。 </w:t>
      </w:r>
    </w:p>
    <w:p w14:paraId="39A19BBE">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 xml:space="preserve">（8） 承包人应对施工场地(现场)内由其提供并安装的所有提升架、外用电梯和塔吊等垂直和水平运输机械进行安全围护，包括卸料平台门的安全开关、警示铃和警示灯，卸料平台的护身栏杆，脚手架和安全网等等；所有的机械设备应设置安全操作防护罩，并在醒目位置张挂详细的安全操作要点等。 </w:t>
      </w:r>
    </w:p>
    <w:p w14:paraId="43B2FB7A">
      <w:pPr>
        <w:keepNext w:val="0"/>
        <w:keepLines w:val="0"/>
        <w:pageBreakBefore w:val="0"/>
        <w:widowControl/>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r>
        <w:rPr>
          <w:rFonts w:hint="eastAsia" w:asciiTheme="minorEastAsia" w:hAnsiTheme="minorEastAsia" w:cstheme="minorEastAsia"/>
          <w:color w:val="000000"/>
          <w:kern w:val="0"/>
          <w:sz w:val="28"/>
          <w:szCs w:val="28"/>
          <w:lang w:bidi="ar"/>
        </w:rPr>
        <w:t>（9）承包人应对所有用于提升的挂钩、挂环、钢丝绳、铁扁担等进行定期检测、检查和标定；如果监理人认为，任何此类设施已经损坏或有使用不当之处，承包人应立即以合格的产品进行更换；所有垂直和水平运输机械的搭设、顶升、使用和拆除必须严格依照现行有关法规、规章、规范、标准和规程等的要求。</w:t>
      </w:r>
    </w:p>
    <w:p w14:paraId="13C7D64D">
      <w:pPr>
        <w:keepNext w:val="0"/>
        <w:keepLines w:val="0"/>
        <w:pageBreakBefore w:val="0"/>
        <w:widowControl/>
        <w:kinsoku/>
        <w:wordWrap/>
        <w:overflowPunct/>
        <w:topLinePunct w:val="0"/>
        <w:autoSpaceDE/>
        <w:autoSpaceDN/>
        <w:bidi w:val="0"/>
        <w:adjustRightInd w:val="0"/>
        <w:snapToGrid w:val="0"/>
        <w:spacing w:line="300" w:lineRule="auto"/>
        <w:jc w:val="left"/>
        <w:rPr>
          <w:sz w:val="28"/>
          <w:szCs w:val="28"/>
        </w:rPr>
      </w:pPr>
      <w:r>
        <w:rPr>
          <w:rFonts w:hint="eastAsia" w:ascii="宋体" w:hAnsi="宋体" w:eastAsia="宋体" w:cs="宋体"/>
          <w:color w:val="000000"/>
          <w:kern w:val="0"/>
          <w:sz w:val="28"/>
          <w:szCs w:val="28"/>
          <w:lang w:bidi="ar"/>
        </w:rPr>
        <w:t xml:space="preserve">（10）所有机械和工器具应定期保养、校核和维护，以保证它们处于良好和安全的工作状态。。 </w:t>
      </w:r>
    </w:p>
    <w:p w14:paraId="6CD2E282">
      <w:pPr>
        <w:keepNext w:val="0"/>
        <w:keepLines w:val="0"/>
        <w:pageBreakBefore w:val="0"/>
        <w:widowControl/>
        <w:kinsoku/>
        <w:wordWrap/>
        <w:overflowPunct/>
        <w:topLinePunct w:val="0"/>
        <w:autoSpaceDE/>
        <w:autoSpaceDN/>
        <w:bidi w:val="0"/>
        <w:adjustRightInd w:val="0"/>
        <w:snapToGrid w:val="0"/>
        <w:spacing w:line="300" w:lineRule="auto"/>
        <w:jc w:val="left"/>
        <w:rPr>
          <w:sz w:val="28"/>
          <w:szCs w:val="28"/>
        </w:rPr>
      </w:pPr>
      <w:r>
        <w:rPr>
          <w:rFonts w:hint="eastAsia" w:ascii="宋体" w:hAnsi="宋体" w:eastAsia="宋体" w:cs="宋体"/>
          <w:color w:val="000000"/>
          <w:kern w:val="0"/>
          <w:sz w:val="28"/>
          <w:szCs w:val="28"/>
          <w:lang w:bidi="ar"/>
        </w:rPr>
        <w:t xml:space="preserve">（11）在永久工程和施工边坡、建筑物基坑、地下洞室等的开挖过程中，应根据其施工安全的需要和(或)监理人指示，安装必要的施工安全监测仪器，及时进行必要的施工安全监测，并定期将安全监测成果提交监理人，以防止引起任何沉降、变形或其他影响正常施工进度的损害。 </w:t>
      </w:r>
    </w:p>
    <w:p w14:paraId="6D70B93A">
      <w:pPr>
        <w:keepNext w:val="0"/>
        <w:keepLines w:val="0"/>
        <w:pageBreakBefore w:val="0"/>
        <w:widowControl/>
        <w:kinsoku/>
        <w:wordWrap/>
        <w:overflowPunct/>
        <w:topLinePunct w:val="0"/>
        <w:autoSpaceDE/>
        <w:autoSpaceDN/>
        <w:bidi w:val="0"/>
        <w:adjustRightInd w:val="0"/>
        <w:snapToGrid w:val="0"/>
        <w:spacing w:line="300" w:lineRule="auto"/>
        <w:jc w:val="left"/>
        <w:rPr>
          <w:sz w:val="28"/>
          <w:szCs w:val="28"/>
        </w:rPr>
      </w:pPr>
      <w:r>
        <w:rPr>
          <w:rFonts w:hint="eastAsia" w:ascii="宋体" w:hAnsi="宋体" w:eastAsia="宋体" w:cs="宋体"/>
          <w:color w:val="000000"/>
          <w:kern w:val="0"/>
          <w:sz w:val="28"/>
          <w:szCs w:val="28"/>
          <w:lang w:bidi="ar"/>
        </w:rPr>
        <w:t xml:space="preserve">（12）承包人应对任何施工中的永久工程进行必要的支撑或临时加固。除非承包人已获得监理人书面许可并按要求进行了必要的加固或支撑，不允许承包人在任何已完成的永久性结构上堆放超过设计允许荷载的任何材料、物品或设备。在任何情况下，承包人均应对其任何上述超载行为引起的后果负责，并承担相应的修缮费用。 </w:t>
      </w:r>
    </w:p>
    <w:p w14:paraId="7F86B115">
      <w:pPr>
        <w:keepNext w:val="0"/>
        <w:keepLines w:val="0"/>
        <w:pageBreakBefore w:val="0"/>
        <w:widowControl/>
        <w:kinsoku/>
        <w:wordWrap/>
        <w:overflowPunct/>
        <w:topLinePunct w:val="0"/>
        <w:autoSpaceDE/>
        <w:autoSpaceDN/>
        <w:bidi w:val="0"/>
        <w:adjustRightInd w:val="0"/>
        <w:snapToGrid w:val="0"/>
        <w:spacing w:line="300" w:lineRule="auto"/>
        <w:jc w:val="left"/>
        <w:rPr>
          <w:sz w:val="28"/>
          <w:szCs w:val="28"/>
        </w:rPr>
      </w:pPr>
      <w:r>
        <w:rPr>
          <w:rFonts w:hint="eastAsia" w:ascii="宋体" w:hAnsi="宋体" w:eastAsia="宋体" w:cs="宋体"/>
          <w:color w:val="000000"/>
          <w:kern w:val="0"/>
          <w:sz w:val="28"/>
          <w:szCs w:val="28"/>
          <w:lang w:bidi="ar"/>
        </w:rPr>
        <w:t xml:space="preserve">（13）承包人应成立应急救援小组，配备必要的应急救援器材和设备，制定灾害和生产安全事故的应急救援预案，并将应急救援预案报送监理人。应急救援预案应能随时组织应救专职人员、并定期组织演练。 </w:t>
      </w:r>
    </w:p>
    <w:p w14:paraId="09CB0574">
      <w:pPr>
        <w:keepNext w:val="0"/>
        <w:keepLines w:val="0"/>
        <w:pageBreakBefore w:val="0"/>
        <w:widowControl/>
        <w:kinsoku/>
        <w:wordWrap/>
        <w:overflowPunct/>
        <w:topLinePunct w:val="0"/>
        <w:autoSpaceDE/>
        <w:autoSpaceDN/>
        <w:bidi w:val="0"/>
        <w:adjustRightInd w:val="0"/>
        <w:snapToGrid w:val="0"/>
        <w:spacing w:line="300" w:lineRule="auto"/>
        <w:jc w:val="left"/>
        <w:rPr>
          <w:sz w:val="28"/>
          <w:szCs w:val="28"/>
        </w:rPr>
      </w:pPr>
      <w:r>
        <w:rPr>
          <w:rFonts w:hint="eastAsia" w:ascii="宋体" w:hAnsi="宋体" w:eastAsia="宋体" w:cs="宋体"/>
          <w:color w:val="000000"/>
          <w:kern w:val="0"/>
          <w:sz w:val="28"/>
          <w:szCs w:val="28"/>
          <w:lang w:bidi="ar"/>
        </w:rPr>
        <w:t xml:space="preserve">（14）基坑支护与降水工程、土方开挖工程、模板工程、起重吊装工程、脚手架工程、拆除工程和爆破工程等达到一定规模和危险性较大的分部分项工程，承包人应当编制专项施工方案，其中深基坑、地下暗挖和高大模板工程的专项施工方案，还应组织专家进行论证和审查。 </w:t>
      </w:r>
    </w:p>
    <w:p w14:paraId="080D582B">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15）承包人应根据相关法律法规和消防管理部门的要求，为施工中的永久工程和所有临时工程提供必要的临时消防和紧急疏散设施，包括提供并维持畅通的消防通道、临时消火栓、灭火器、水龙带、灭火桶、灭火铲、灭火斧、消防水管、阀门、检查井、临时消防水箱、泵房和紧随工作面的临时疏散楼梯或疏散设施，消防设施的设立和消防设备的型号和功率应满足消防任务的需要，始终保持能够随时投入正常使用的状态，并设立明显标志。所有的临时消防设施属于承包人所有，至工程实际竣工时且永久性消防系统投入使用后从现场拆除。 </w:t>
      </w:r>
    </w:p>
    <w:p w14:paraId="34821911">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 xml:space="preserve"> 五、文明施工管理</w:t>
      </w:r>
    </w:p>
    <w:p w14:paraId="78FB65A2">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1、承包人应当规范现场施工秩序，实行标准化管理： </w:t>
      </w:r>
    </w:p>
    <w:p w14:paraId="13A05840">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(1)承包人的施工场地(现场)必须干净整治、做到无积水、无淤泥、无杂物，材料堆放整齐； </w:t>
      </w:r>
    </w:p>
    <w:p w14:paraId="3BB6E3FA">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(2)施工场地(现场)应进行硬化处理，定期定时洒水，做好防治扬尘和大气污染工作； </w:t>
      </w:r>
    </w:p>
    <w:p w14:paraId="6A75D6C3">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(3)严格遵守“工完、料尽、场地净”的原则，不留垃圾、不留剩余施工材料和施工机具，各种设备运转正常； </w:t>
      </w:r>
    </w:p>
    <w:p w14:paraId="52FF0DF1">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(4)承包人修建的施工临时设施应符合监理人批准的施工规划要求，并应满足本节规定的各项安全要求； </w:t>
      </w:r>
    </w:p>
    <w:p w14:paraId="7E3C61C6">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(5)监理人可要求承包人在施工场地(现场)设置各级承包人的安全文明施工责任牌、文明施工警示牌等； </w:t>
      </w:r>
    </w:p>
    <w:p w14:paraId="17B98A8A">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(6)材料进入现场应按指定位置堆放整齐，不得影响现场施工和堵塞施工、消防通道。</w:t>
      </w:r>
    </w:p>
    <w:p w14:paraId="06921CE3">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(7)施工和安装用的各种扣件、紧固件、绳索具、小型配件、镙钉等应在专设的仓库内装箱放置； </w:t>
      </w:r>
    </w:p>
    <w:p w14:paraId="30A4FB96">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(8)现场风、水管及照明电线的布置应安全、合理、规范、有序，做到整齐美观。不得随意架设和造成隐患或影响施工</w:t>
      </w:r>
    </w:p>
    <w:p w14:paraId="08B8D3BF">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2、在工程施工期间，承包人应始终避免现场出现不必要的障碍物，妥当存放并处置施工设备和多余的材料，及时从现场清除运走任何废料、垃圾或不再需要的临时工程和设施。 </w:t>
      </w:r>
    </w:p>
    <w:p w14:paraId="4DC34D7A">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3、承包人应在现场设立固定的垃圾临时存放点并在各楼层或区域设立必要的垃圾箱；所有垃圾必须在当天清除出现场，并按有关行政管理部门的规定，运送到指定的垃圾消纳场。</w:t>
      </w:r>
    </w:p>
    <w:p w14:paraId="5578CAAD">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4、承包人应对离场垃圾和所有车辆进行防遗洒和防污染公共道路的处理。承包人在运输任何材料的过程中，应采取一切必要的措施，防止遗洒和污染公共道路；一旦出现上述遗洒或污染现象，承包人应立即采取措施进行清扫，并承担所有费用。承包人在混 凝土浇注、材料运输、材料装卸、现场清理等工作中应采取一切必要的措施防止影响公共交通。 </w:t>
      </w:r>
    </w:p>
    <w:p w14:paraId="51824DBB">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5、承包人应当制定成品保护措施，并提供必要的人员、材料和设备用于整个工程的成品保护，包括对已完成的所有分包人和独立承包人(如果有)的工程或工作的保护，防止已完工作遭受任何损坏或破坏。</w:t>
      </w:r>
    </w:p>
    <w:p w14:paraId="552F04AE">
      <w:pPr>
        <w:keepNext w:val="0"/>
        <w:keepLines w:val="0"/>
        <w:pageBreakBefore w:val="0"/>
        <w:widowControl/>
        <w:kinsoku/>
        <w:wordWrap/>
        <w:overflowPunct/>
        <w:topLinePunct w:val="0"/>
        <w:autoSpaceDE/>
        <w:autoSpaceDN/>
        <w:bidi w:val="0"/>
        <w:adjustRightInd w:val="0"/>
        <w:snapToGrid w:val="0"/>
        <w:spacing w:line="300" w:lineRule="auto"/>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6、承包人应为施工场地(现场)提供 24 小时的保安保卫服务，配备足够的保安人员和保安设备，防止未经批准的任何人进入现场，控制人员、材料和设备等的进出场，防止现场材料、设备或其他任何物品的失窃，禁止任何现场内的打架斗殴事件</w:t>
      </w:r>
    </w:p>
    <w:p w14:paraId="513BF2BE">
      <w:pPr>
        <w:pStyle w:val="2"/>
        <w:keepNext w:val="0"/>
        <w:keepLines w:val="0"/>
        <w:pageBreakBefore w:val="0"/>
        <w:kinsoku/>
        <w:wordWrap/>
        <w:overflowPunct/>
        <w:topLinePunct w:val="0"/>
        <w:autoSpaceDE/>
        <w:autoSpaceDN/>
        <w:bidi w:val="0"/>
        <w:adjustRightInd w:val="0"/>
        <w:snapToGrid w:val="0"/>
        <w:spacing w:line="300" w:lineRule="auto"/>
        <w:ind w:left="63" w:right="63"/>
        <w:jc w:val="left"/>
      </w:pPr>
    </w:p>
    <w:p w14:paraId="48B9EDF9">
      <w:pPr>
        <w:pStyle w:val="10"/>
        <w:keepNext w:val="0"/>
        <w:keepLines w:val="0"/>
        <w:pageBreakBefore w:val="0"/>
        <w:kinsoku/>
        <w:wordWrap/>
        <w:overflowPunct/>
        <w:topLinePunct w:val="0"/>
        <w:autoSpaceDE/>
        <w:autoSpaceDN/>
        <w:bidi w:val="0"/>
        <w:adjustRightInd w:val="0"/>
        <w:snapToGrid w:val="0"/>
        <w:spacing w:line="300" w:lineRule="auto"/>
        <w:jc w:val="left"/>
        <w:rPr>
          <w:rFonts w:asciiTheme="minorEastAsia" w:hAnsiTheme="minorEastAsia" w:cs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36F8D7"/>
    <w:multiLevelType w:val="singleLevel"/>
    <w:tmpl w:val="BD36F8D7"/>
    <w:lvl w:ilvl="0" w:tentative="0">
      <w:start w:val="1"/>
      <w:numFmt w:val="decimal"/>
      <w:suff w:val="nothing"/>
      <w:lvlText w:val="%1、"/>
      <w:lvlJc w:val="left"/>
    </w:lvl>
  </w:abstractNum>
  <w:abstractNum w:abstractNumId="1">
    <w:nsid w:val="FDBC379F"/>
    <w:multiLevelType w:val="singleLevel"/>
    <w:tmpl w:val="FDBC379F"/>
    <w:lvl w:ilvl="0" w:tentative="0">
      <w:start w:val="1"/>
      <w:numFmt w:val="decimal"/>
      <w:suff w:val="nothing"/>
      <w:lvlText w:val="%1、"/>
      <w:lvlJc w:val="left"/>
    </w:lvl>
  </w:abstractNum>
  <w:abstractNum w:abstractNumId="2">
    <w:nsid w:val="284F7DCD"/>
    <w:multiLevelType w:val="singleLevel"/>
    <w:tmpl w:val="284F7DCD"/>
    <w:lvl w:ilvl="0" w:tentative="0">
      <w:start w:val="1"/>
      <w:numFmt w:val="decimal"/>
      <w:suff w:val="nothing"/>
      <w:lvlText w:val="%1、"/>
      <w:lvlJc w:val="left"/>
    </w:lvl>
  </w:abstractNum>
  <w:abstractNum w:abstractNumId="3">
    <w:nsid w:val="2F1DEC86"/>
    <w:multiLevelType w:val="singleLevel"/>
    <w:tmpl w:val="2F1DEC86"/>
    <w:lvl w:ilvl="0" w:tentative="0">
      <w:start w:val="1"/>
      <w:numFmt w:val="decimal"/>
      <w:suff w:val="nothing"/>
      <w:lvlText w:val="%1、"/>
      <w:lvlJc w:val="left"/>
    </w:lvl>
  </w:abstractNum>
  <w:abstractNum w:abstractNumId="4">
    <w:nsid w:val="6C1A0D68"/>
    <w:multiLevelType w:val="singleLevel"/>
    <w:tmpl w:val="6C1A0D68"/>
    <w:lvl w:ilvl="0" w:tentative="0">
      <w:start w:val="1"/>
      <w:numFmt w:val="chineseCounting"/>
      <w:suff w:val="nothing"/>
      <w:lvlText w:val="%1、"/>
      <w:lvlJc w:val="left"/>
      <w:rPr>
        <w:rFonts w:hint="eastAsia"/>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NotDisplayPageBoundaries w:val="1"/>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JhNjJiODI0ZmMxYjk3YmM0Y2Y3OGI1NDBkMWUyYTMifQ=="/>
  </w:docVars>
  <w:rsids>
    <w:rsidRoot w:val="26E15E61"/>
    <w:rsid w:val="00130A81"/>
    <w:rsid w:val="00290296"/>
    <w:rsid w:val="00345828"/>
    <w:rsid w:val="0041338D"/>
    <w:rsid w:val="00506C8C"/>
    <w:rsid w:val="0065516E"/>
    <w:rsid w:val="00723604"/>
    <w:rsid w:val="00765382"/>
    <w:rsid w:val="00790094"/>
    <w:rsid w:val="008F6DFE"/>
    <w:rsid w:val="00903F62"/>
    <w:rsid w:val="00C56ACE"/>
    <w:rsid w:val="00C755D3"/>
    <w:rsid w:val="00E606FE"/>
    <w:rsid w:val="020A2568"/>
    <w:rsid w:val="0422003D"/>
    <w:rsid w:val="08404F36"/>
    <w:rsid w:val="0BAE21B6"/>
    <w:rsid w:val="0C871702"/>
    <w:rsid w:val="0F40581B"/>
    <w:rsid w:val="0F8B2F3A"/>
    <w:rsid w:val="13D35072"/>
    <w:rsid w:val="152A132E"/>
    <w:rsid w:val="154716B1"/>
    <w:rsid w:val="16A6065A"/>
    <w:rsid w:val="198D78AF"/>
    <w:rsid w:val="1F7F742F"/>
    <w:rsid w:val="1FE16BA6"/>
    <w:rsid w:val="22A7378F"/>
    <w:rsid w:val="237D2742"/>
    <w:rsid w:val="23B02B18"/>
    <w:rsid w:val="24975A86"/>
    <w:rsid w:val="252B3A9D"/>
    <w:rsid w:val="25506360"/>
    <w:rsid w:val="25A07EAF"/>
    <w:rsid w:val="26CD0F49"/>
    <w:rsid w:val="26E15E61"/>
    <w:rsid w:val="279664C8"/>
    <w:rsid w:val="286D0FD7"/>
    <w:rsid w:val="2E2D7583"/>
    <w:rsid w:val="2E95347B"/>
    <w:rsid w:val="2E975000"/>
    <w:rsid w:val="2F1C2969"/>
    <w:rsid w:val="32867865"/>
    <w:rsid w:val="348E0C53"/>
    <w:rsid w:val="3ACF2DDD"/>
    <w:rsid w:val="3AE50EA1"/>
    <w:rsid w:val="3EB47A6E"/>
    <w:rsid w:val="3EC05EAD"/>
    <w:rsid w:val="3FA73C06"/>
    <w:rsid w:val="4071534C"/>
    <w:rsid w:val="41986C6D"/>
    <w:rsid w:val="44223166"/>
    <w:rsid w:val="4545484C"/>
    <w:rsid w:val="475A2C17"/>
    <w:rsid w:val="47833F1C"/>
    <w:rsid w:val="48EC64CD"/>
    <w:rsid w:val="4AB64608"/>
    <w:rsid w:val="4D834C75"/>
    <w:rsid w:val="4D950282"/>
    <w:rsid w:val="4F0F42E7"/>
    <w:rsid w:val="508825A3"/>
    <w:rsid w:val="54A06F4E"/>
    <w:rsid w:val="563B3C13"/>
    <w:rsid w:val="56496330"/>
    <w:rsid w:val="56FD042B"/>
    <w:rsid w:val="572172AD"/>
    <w:rsid w:val="5A557999"/>
    <w:rsid w:val="5A98649F"/>
    <w:rsid w:val="5C2018E1"/>
    <w:rsid w:val="608368E3"/>
    <w:rsid w:val="62B92A90"/>
    <w:rsid w:val="66287D10"/>
    <w:rsid w:val="66C51A03"/>
    <w:rsid w:val="67A41618"/>
    <w:rsid w:val="67B1772D"/>
    <w:rsid w:val="6BBA6341"/>
    <w:rsid w:val="6E8E6B7E"/>
    <w:rsid w:val="6EF47329"/>
    <w:rsid w:val="70C66AA3"/>
    <w:rsid w:val="71397275"/>
    <w:rsid w:val="716167CC"/>
    <w:rsid w:val="735F6D3B"/>
    <w:rsid w:val="737F73DD"/>
    <w:rsid w:val="75F776FF"/>
    <w:rsid w:val="76D96E05"/>
    <w:rsid w:val="7836450F"/>
    <w:rsid w:val="7B9E1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styleId="3">
    <w:name w:val="annotation text"/>
    <w:basedOn w:val="1"/>
    <w:qFormat/>
    <w:uiPriority w:val="0"/>
    <w:pPr>
      <w:jc w:val="left"/>
    </w:pPr>
  </w:style>
  <w:style w:type="paragraph" w:styleId="4">
    <w:name w:val="Balloon Text"/>
    <w:basedOn w:val="1"/>
    <w:link w:val="12"/>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qFormat/>
    <w:uiPriority w:val="0"/>
    <w:rPr>
      <w:sz w:val="21"/>
      <w:szCs w:val="21"/>
    </w:rPr>
  </w:style>
  <w:style w:type="paragraph" w:customStyle="1" w:styleId="10">
    <w:name w:val="BodyText3"/>
    <w:basedOn w:val="1"/>
    <w:autoRedefine/>
    <w:qFormat/>
    <w:uiPriority w:val="0"/>
    <w:pPr>
      <w:spacing w:after="120"/>
    </w:pPr>
    <w:rPr>
      <w:sz w:val="16"/>
      <w:szCs w:val="16"/>
    </w:rPr>
  </w:style>
  <w:style w:type="character" w:customStyle="1" w:styleId="11">
    <w:name w:val="NormalCharacter"/>
    <w:basedOn w:val="8"/>
    <w:autoRedefine/>
    <w:qFormat/>
    <w:uiPriority w:val="0"/>
  </w:style>
  <w:style w:type="character" w:customStyle="1" w:styleId="12">
    <w:name w:val="批注框文本 Char"/>
    <w:basedOn w:val="8"/>
    <w:link w:val="4"/>
    <w:qFormat/>
    <w:uiPriority w:val="0"/>
    <w:rPr>
      <w:rFonts w:asciiTheme="minorHAnsi" w:hAnsiTheme="minorHAnsi" w:eastAsiaTheme="minorEastAsia" w:cstheme="minorBidi"/>
      <w:kern w:val="2"/>
      <w:sz w:val="18"/>
      <w:szCs w:val="18"/>
    </w:rPr>
  </w:style>
  <w:style w:type="character" w:customStyle="1" w:styleId="13">
    <w:name w:val="页眉 Char"/>
    <w:basedOn w:val="8"/>
    <w:link w:val="6"/>
    <w:qFormat/>
    <w:uiPriority w:val="0"/>
    <w:rPr>
      <w:rFonts w:asciiTheme="minorHAnsi" w:hAnsiTheme="minorHAnsi" w:eastAsiaTheme="minorEastAsia" w:cstheme="minorBidi"/>
      <w:kern w:val="2"/>
      <w:sz w:val="18"/>
      <w:szCs w:val="18"/>
    </w:rPr>
  </w:style>
  <w:style w:type="character" w:customStyle="1" w:styleId="14">
    <w:name w:val="页脚 Char"/>
    <w:basedOn w:val="8"/>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7802</Words>
  <Characters>7892</Characters>
  <Lines>56</Lines>
  <Paragraphs>15</Paragraphs>
  <TotalTime>16</TotalTime>
  <ScaleCrop>false</ScaleCrop>
  <LinksUpToDate>false</LinksUpToDate>
  <CharactersWithSpaces>7939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2024-09-12T15:57:00Z</dcterms:created>
  <dc:creator>王庆国</dc:creator>
  <cp:lastModifiedBy>刘圆</cp:lastModifiedBy>
  <dcterms:modified xsi:type="dcterms:W3CDTF">2024-09-23T09:00:27Z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10B18352A09540F791E9D835909848FB_13</vt:lpwstr>
  </property>
</Properties>
</file>